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B8" w:rsidRPr="005B13F4" w:rsidRDefault="00687253" w:rsidP="00152D2A">
      <w:pPr>
        <w:pStyle w:val="1"/>
        <w:spacing w:afterLines="50" w:after="120" w:line="360" w:lineRule="auto"/>
        <w:jc w:val="center"/>
        <w:rPr>
          <w:rFonts w:ascii="Times New Roman" w:hAnsi="Times New Roman"/>
          <w:sz w:val="20"/>
          <w:szCs w:val="20"/>
        </w:rPr>
      </w:pPr>
      <w:r>
        <w:rPr>
          <w:rFonts w:ascii="Times New Roman" w:hAnsi="Times New Roman"/>
          <w:noProof/>
          <w:sz w:val="20"/>
          <w:szCs w:val="20"/>
        </w:rPr>
        <w:drawing>
          <wp:inline distT="0" distB="0" distL="0" distR="0">
            <wp:extent cx="4953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E1357F" w:rsidRPr="00E1357F" w:rsidRDefault="002504BC" w:rsidP="00B24E61">
      <w:pPr>
        <w:pStyle w:val="1"/>
        <w:spacing w:afterLines="50" w:after="120" w:line="360" w:lineRule="auto"/>
        <w:jc w:val="both"/>
        <w:rPr>
          <w:rFonts w:ascii="Times New Roman" w:hAnsi="宋体"/>
          <w:sz w:val="24"/>
          <w:szCs w:val="24"/>
        </w:rPr>
      </w:pPr>
      <w:r>
        <w:rPr>
          <w:rFonts w:ascii="Times New Roman" w:hAnsi="宋体"/>
          <w:sz w:val="24"/>
          <w:szCs w:val="24"/>
        </w:rPr>
        <w:t>2016</w:t>
      </w:r>
      <w:r>
        <w:rPr>
          <w:rFonts w:ascii="Times New Roman" w:hAnsi="宋体" w:hint="eastAsia"/>
          <w:sz w:val="24"/>
          <w:szCs w:val="24"/>
        </w:rPr>
        <w:t>年</w:t>
      </w:r>
      <w:r>
        <w:rPr>
          <w:rFonts w:ascii="Times New Roman" w:hAnsi="宋体"/>
          <w:sz w:val="24"/>
          <w:szCs w:val="24"/>
        </w:rPr>
        <w:t>1</w:t>
      </w:r>
      <w:r w:rsidR="00E1357F" w:rsidRPr="00E1357F">
        <w:rPr>
          <w:rFonts w:ascii="Times New Roman" w:hAnsi="宋体" w:hint="eastAsia"/>
          <w:sz w:val="24"/>
          <w:szCs w:val="24"/>
        </w:rPr>
        <w:t>月</w:t>
      </w:r>
      <w:r w:rsidR="00D5771C">
        <w:rPr>
          <w:rFonts w:ascii="Times New Roman" w:hAnsi="宋体"/>
          <w:sz w:val="24"/>
          <w:szCs w:val="24"/>
        </w:rPr>
        <w:t>29</w:t>
      </w:r>
      <w:r w:rsidR="00E1357F" w:rsidRPr="00E1357F">
        <w:rPr>
          <w:rFonts w:ascii="Times New Roman" w:hAnsi="宋体" w:hint="eastAsia"/>
          <w:sz w:val="24"/>
          <w:szCs w:val="24"/>
        </w:rPr>
        <w:t>日</w:t>
      </w:r>
    </w:p>
    <w:p w:rsidR="00F14750" w:rsidRPr="007B67EC" w:rsidRDefault="002504BC" w:rsidP="00F14750">
      <w:pPr>
        <w:pStyle w:val="NoSpacing"/>
        <w:adjustRightInd w:val="0"/>
        <w:snapToGrid w:val="0"/>
        <w:spacing w:afterLines="50" w:after="120"/>
        <w:ind w:firstLineChars="213" w:firstLine="426"/>
        <w:jc w:val="both"/>
        <w:rPr>
          <w:rFonts w:ascii="Times New Roman" w:hAnsi="Times New Roman"/>
          <w:szCs w:val="21"/>
        </w:rPr>
      </w:pPr>
      <w:r>
        <w:rPr>
          <w:rFonts w:ascii="Times New Roman"/>
          <w:sz w:val="20"/>
          <w:szCs w:val="20"/>
        </w:rPr>
        <w:t>本周</w:t>
      </w:r>
      <w:r>
        <w:rPr>
          <w:rFonts w:ascii="Times New Roman" w:hint="eastAsia"/>
          <w:sz w:val="20"/>
          <w:szCs w:val="20"/>
        </w:rPr>
        <w:t>的《减盐</w:t>
      </w:r>
      <w:r>
        <w:rPr>
          <w:rFonts w:ascii="Times New Roman"/>
          <w:sz w:val="20"/>
          <w:szCs w:val="20"/>
        </w:rPr>
        <w:t>电子周刊》</w:t>
      </w:r>
      <w:r w:rsidR="006C4FE0" w:rsidRPr="00087152">
        <w:rPr>
          <w:rFonts w:ascii="Times New Roman"/>
          <w:sz w:val="20"/>
          <w:szCs w:val="20"/>
        </w:rPr>
        <w:t>的更新内容包括</w:t>
      </w:r>
      <w:r w:rsidR="00D5771C" w:rsidRPr="00653E8C">
        <w:rPr>
          <w:rFonts w:ascii="Times New Roman" w:hAnsi="宋体"/>
          <w:szCs w:val="21"/>
        </w:rPr>
        <w:t>公众健康与食品行业减钠新资源、食品行业减钠成效。</w:t>
      </w:r>
    </w:p>
    <w:p w:rsidR="002504BC" w:rsidRDefault="002504BC" w:rsidP="002504BC">
      <w:pPr>
        <w:autoSpaceDE w:val="0"/>
        <w:autoSpaceDN w:val="0"/>
        <w:rPr>
          <w:rFonts w:ascii="Arial" w:hAnsi="Arial" w:cs="Arial"/>
          <w:b/>
          <w:bCs/>
          <w:sz w:val="20"/>
          <w:szCs w:val="20"/>
          <w:u w:val="single"/>
        </w:rPr>
      </w:pPr>
    </w:p>
    <w:p w:rsidR="00D5771C" w:rsidRPr="00653E8C" w:rsidRDefault="00D5771C" w:rsidP="00D5771C">
      <w:pPr>
        <w:adjustRightInd w:val="0"/>
        <w:snapToGrid w:val="0"/>
        <w:spacing w:afterLines="50" w:after="120"/>
        <w:rPr>
          <w:rFonts w:ascii="Times New Roman" w:hAnsi="Times New Roman"/>
          <w:b/>
          <w:bCs/>
          <w:szCs w:val="21"/>
          <w:u w:val="single"/>
        </w:rPr>
      </w:pPr>
      <w:r w:rsidRPr="00653E8C">
        <w:rPr>
          <w:rFonts w:ascii="Times New Roman" w:hAnsi="宋体"/>
          <w:b/>
          <w:bCs/>
          <w:szCs w:val="21"/>
          <w:u w:val="single"/>
        </w:rPr>
        <w:t>公众健康与食品行业减钠新资源</w:t>
      </w:r>
    </w:p>
    <w:p w:rsidR="00D5771C" w:rsidRPr="00653E8C" w:rsidRDefault="00D5771C" w:rsidP="00D5771C">
      <w:pPr>
        <w:adjustRightInd w:val="0"/>
        <w:snapToGrid w:val="0"/>
        <w:spacing w:afterLines="50" w:after="120"/>
        <w:ind w:firstLineChars="200" w:firstLine="440"/>
        <w:rPr>
          <w:rFonts w:ascii="Times New Roman" w:hAnsi="Times New Roman"/>
          <w:szCs w:val="21"/>
        </w:rPr>
      </w:pPr>
      <w:r w:rsidRPr="00653E8C">
        <w:rPr>
          <w:rFonts w:ascii="Times New Roman" w:hAnsi="宋体"/>
          <w:szCs w:val="21"/>
        </w:rPr>
        <w:t>印第安纳州马里昂县公众健康部在美国疾控中心社区减钠计划的资助下，于近期发布了各种以帮助公众和食品服务供应商减钠为目的的新资源，其中包括一段有关改良食谱调料和营养的视频。查看视频内容和相关资源请点击此链接：</w:t>
      </w:r>
      <w:r w:rsidRPr="00653E8C">
        <w:rPr>
          <w:rFonts w:ascii="Times New Roman" w:hAnsi="Times New Roman"/>
          <w:szCs w:val="21"/>
        </w:rPr>
        <w:t> </w:t>
      </w:r>
      <w:hyperlink r:id="rId9" w:history="1">
        <w:r w:rsidRPr="00653E8C">
          <w:rPr>
            <w:rStyle w:val="Hyperlink"/>
            <w:rFonts w:ascii="Times New Roman" w:hAnsi="Times New Roman"/>
            <w:szCs w:val="21"/>
          </w:rPr>
          <w:t>http://marionhealth.org/programs/population-health/chronic-disease/sodium-reduction-in-communities-program/</w:t>
        </w:r>
      </w:hyperlink>
      <w:r w:rsidRPr="00653E8C">
        <w:rPr>
          <w:rFonts w:ascii="Times New Roman" w:hAnsi="Times New Roman"/>
          <w:szCs w:val="21"/>
        </w:rPr>
        <w:t xml:space="preserve">. </w:t>
      </w:r>
    </w:p>
    <w:p w:rsidR="00D5771C" w:rsidRPr="00653E8C" w:rsidRDefault="00D5771C" w:rsidP="00D5771C">
      <w:pPr>
        <w:pStyle w:val="NormalWeb"/>
        <w:adjustRightInd w:val="0"/>
        <w:snapToGrid w:val="0"/>
        <w:spacing w:afterLines="50" w:after="120"/>
        <w:ind w:firstLineChars="200" w:firstLine="420"/>
        <w:jc w:val="both"/>
        <w:rPr>
          <w:rFonts w:ascii="Times New Roman" w:hAnsi="Times New Roman"/>
          <w:sz w:val="21"/>
          <w:szCs w:val="21"/>
        </w:rPr>
      </w:pPr>
      <w:r w:rsidRPr="00653E8C">
        <w:rPr>
          <w:rFonts w:ascii="Times New Roman"/>
          <w:sz w:val="21"/>
          <w:szCs w:val="21"/>
        </w:rPr>
        <w:t>此外，《食品服务行业减钠</w:t>
      </w:r>
      <w:r w:rsidRPr="00653E8C">
        <w:rPr>
          <w:rFonts w:ascii="Times New Roman" w:hAnsi="Times New Roman"/>
          <w:sz w:val="21"/>
          <w:szCs w:val="21"/>
        </w:rPr>
        <w:t>——</w:t>
      </w:r>
      <w:r w:rsidRPr="00653E8C">
        <w:rPr>
          <w:rFonts w:ascii="Times New Roman"/>
          <w:sz w:val="21"/>
          <w:szCs w:val="21"/>
        </w:rPr>
        <w:t>公众健康专家与食品服务提供商合作资源》一文就减少常见食物中的盐用量提出了几点指导意见，如：评估食品服务商改良食谱的能力，平衡公众健康</w:t>
      </w:r>
      <w:r w:rsidRPr="00653E8C">
        <w:rPr>
          <w:rFonts w:ascii="Times New Roman" w:hAnsi="Times New Roman"/>
          <w:sz w:val="21"/>
          <w:szCs w:val="21"/>
        </w:rPr>
        <w:t>/</w:t>
      </w:r>
      <w:r w:rsidRPr="00653E8C">
        <w:rPr>
          <w:rFonts w:ascii="Times New Roman"/>
          <w:sz w:val="21"/>
          <w:szCs w:val="21"/>
        </w:rPr>
        <w:t>营养目标与商业目标，以及高性价比的烹饪技巧。该文由国家公众健康机构网络</w:t>
      </w:r>
      <w:r w:rsidRPr="00653E8C">
        <w:rPr>
          <w:rFonts w:ascii="Times New Roman" w:hAnsi="Times New Roman"/>
          <w:sz w:val="21"/>
          <w:szCs w:val="21"/>
        </w:rPr>
        <w:t xml:space="preserve"> (National Network of Public Health Institutes) </w:t>
      </w:r>
      <w:r w:rsidRPr="00653E8C">
        <w:rPr>
          <w:rFonts w:ascii="Times New Roman"/>
          <w:sz w:val="21"/>
          <w:szCs w:val="21"/>
        </w:rPr>
        <w:t>与美国疾控中心以及美国烹饪学院</w:t>
      </w:r>
      <w:r w:rsidRPr="00653E8C">
        <w:rPr>
          <w:rFonts w:ascii="Times New Roman" w:hAnsi="Times New Roman"/>
          <w:sz w:val="21"/>
          <w:szCs w:val="21"/>
        </w:rPr>
        <w:t xml:space="preserve"> (Culinary Institute of America) </w:t>
      </w:r>
      <w:r w:rsidRPr="00653E8C">
        <w:rPr>
          <w:rFonts w:ascii="Times New Roman"/>
          <w:sz w:val="21"/>
          <w:szCs w:val="21"/>
        </w:rPr>
        <w:t>共同撰写。查看具体内容请点击此链接</w:t>
      </w:r>
      <w:r w:rsidRPr="00653E8C">
        <w:rPr>
          <w:rFonts w:ascii="Times New Roman" w:hAnsi="Times New Roman"/>
          <w:sz w:val="21"/>
          <w:szCs w:val="21"/>
        </w:rPr>
        <w:t>:</w:t>
      </w:r>
      <w:hyperlink r:id="rId10" w:history="1">
        <w:r w:rsidRPr="00653E8C">
          <w:rPr>
            <w:rStyle w:val="Hyperlink"/>
            <w:rFonts w:ascii="Times New Roman" w:hAnsi="Times New Roman"/>
            <w:sz w:val="21"/>
            <w:szCs w:val="21"/>
          </w:rPr>
          <w:t>https://nnphi.org/wp-content/uploads/2015/11/SodiumTipSheets_FINAL.pdf</w:t>
        </w:r>
      </w:hyperlink>
      <w:r w:rsidRPr="00653E8C">
        <w:rPr>
          <w:rFonts w:ascii="Times New Roman"/>
          <w:sz w:val="21"/>
          <w:szCs w:val="21"/>
        </w:rPr>
        <w:t>文章内容相关网络论坛系列见此处</w:t>
      </w:r>
      <w:r w:rsidRPr="00653E8C">
        <w:rPr>
          <w:rFonts w:ascii="Times New Roman" w:hAnsi="Times New Roman"/>
          <w:sz w:val="21"/>
          <w:szCs w:val="21"/>
        </w:rPr>
        <w:t xml:space="preserve">: </w:t>
      </w:r>
      <w:hyperlink r:id="rId11" w:tgtFrame="_blank" w:history="1">
        <w:r w:rsidRPr="00653E8C">
          <w:rPr>
            <w:rStyle w:val="Hyperlink"/>
            <w:rFonts w:ascii="Times New Roman" w:hAnsi="Times New Roman"/>
            <w:sz w:val="21"/>
            <w:szCs w:val="21"/>
          </w:rPr>
          <w:t>Connecting Public Health and Food Service Providers</w:t>
        </w:r>
      </w:hyperlink>
      <w:r w:rsidRPr="00653E8C">
        <w:rPr>
          <w:rFonts w:ascii="Times New Roman" w:hAnsi="Times New Roman"/>
          <w:sz w:val="21"/>
          <w:szCs w:val="21"/>
        </w:rPr>
        <w:t>.</w:t>
      </w:r>
    </w:p>
    <w:p w:rsidR="00D5771C" w:rsidRDefault="00D5771C" w:rsidP="00D5771C">
      <w:pPr>
        <w:adjustRightInd w:val="0"/>
        <w:snapToGrid w:val="0"/>
        <w:spacing w:afterLines="50" w:after="120"/>
        <w:rPr>
          <w:rFonts w:ascii="Times New Roman" w:hAnsi="Times New Roman"/>
          <w:szCs w:val="21"/>
        </w:rPr>
      </w:pPr>
    </w:p>
    <w:p w:rsidR="00D5771C" w:rsidRPr="00D5771C" w:rsidRDefault="00D5771C" w:rsidP="00D5771C">
      <w:pPr>
        <w:adjustRightInd w:val="0"/>
        <w:snapToGrid w:val="0"/>
        <w:spacing w:afterLines="50" w:after="120"/>
        <w:rPr>
          <w:rFonts w:ascii="Times New Roman" w:hAnsi="宋体"/>
          <w:b/>
          <w:bCs/>
          <w:szCs w:val="21"/>
          <w:u w:val="single"/>
        </w:rPr>
      </w:pPr>
      <w:hyperlink r:id="rId12" w:history="1">
        <w:r w:rsidRPr="00D5771C">
          <w:rPr>
            <w:b/>
            <w:u w:val="single"/>
          </w:rPr>
          <w:t>通用磨坊公司的十类产品中七类达到减钠目标</w:t>
        </w:r>
      </w:hyperlink>
    </w:p>
    <w:p w:rsidR="00D5771C" w:rsidRPr="00653E8C" w:rsidRDefault="00D5771C" w:rsidP="00D5771C">
      <w:pPr>
        <w:adjustRightInd w:val="0"/>
        <w:snapToGrid w:val="0"/>
        <w:spacing w:afterLines="50" w:after="120"/>
        <w:ind w:firstLineChars="200" w:firstLine="440"/>
        <w:rPr>
          <w:rFonts w:ascii="Times New Roman" w:hAnsi="Times New Roman"/>
          <w:szCs w:val="21"/>
        </w:rPr>
      </w:pPr>
      <w:r w:rsidRPr="00653E8C">
        <w:rPr>
          <w:rFonts w:ascii="Times New Roman" w:hAnsi="宋体"/>
          <w:szCs w:val="21"/>
        </w:rPr>
        <w:t>通用磨坊公司</w:t>
      </w:r>
      <w:r w:rsidRPr="00653E8C">
        <w:rPr>
          <w:rFonts w:ascii="Times New Roman" w:hAnsi="Times New Roman"/>
          <w:szCs w:val="21"/>
        </w:rPr>
        <w:t xml:space="preserve"> (General Mills) </w:t>
      </w:r>
      <w:r w:rsidRPr="00653E8C">
        <w:rPr>
          <w:rFonts w:ascii="Times New Roman" w:hAnsi="宋体"/>
          <w:szCs w:val="21"/>
        </w:rPr>
        <w:t>十类目标产品的减钠率分别为</w:t>
      </w:r>
      <w:r w:rsidRPr="00653E8C">
        <w:rPr>
          <w:rFonts w:ascii="Times New Roman" w:hAnsi="Times New Roman"/>
          <w:szCs w:val="21"/>
        </w:rPr>
        <w:t>18%</w:t>
      </w:r>
      <w:r w:rsidRPr="00653E8C">
        <w:rPr>
          <w:rFonts w:ascii="Times New Roman" w:hAnsi="宋体"/>
          <w:szCs w:val="21"/>
        </w:rPr>
        <w:t>至</w:t>
      </w:r>
      <w:r w:rsidRPr="00653E8C">
        <w:rPr>
          <w:rFonts w:ascii="Times New Roman" w:hAnsi="Times New Roman"/>
          <w:szCs w:val="21"/>
        </w:rPr>
        <w:t>35%</w:t>
      </w:r>
      <w:r w:rsidRPr="00653E8C">
        <w:rPr>
          <w:rFonts w:ascii="Times New Roman" w:hAnsi="宋体"/>
          <w:szCs w:val="21"/>
        </w:rPr>
        <w:t>不等，其中七类达到减钠</w:t>
      </w:r>
      <w:r w:rsidRPr="00653E8C">
        <w:rPr>
          <w:rFonts w:ascii="Times New Roman" w:hAnsi="Times New Roman"/>
          <w:szCs w:val="21"/>
        </w:rPr>
        <w:t>20%</w:t>
      </w:r>
      <w:r w:rsidRPr="00653E8C">
        <w:rPr>
          <w:rFonts w:ascii="Times New Roman" w:hAnsi="宋体"/>
          <w:szCs w:val="21"/>
        </w:rPr>
        <w:t>的目标。相当于</w:t>
      </w:r>
      <w:r w:rsidRPr="00653E8C">
        <w:rPr>
          <w:rFonts w:ascii="Times New Roman" w:hAnsi="Times New Roman"/>
          <w:szCs w:val="21"/>
        </w:rPr>
        <w:t>350</w:t>
      </w:r>
      <w:r w:rsidRPr="00653E8C">
        <w:rPr>
          <w:rFonts w:ascii="Times New Roman" w:hAnsi="宋体"/>
          <w:szCs w:val="21"/>
        </w:rPr>
        <w:t>多件公司产品和目前美国零售销售量的三分之一以上。</w:t>
      </w:r>
    </w:p>
    <w:p w:rsidR="00D5771C" w:rsidRPr="00653E8C" w:rsidRDefault="00D5771C" w:rsidP="00D5771C">
      <w:pPr>
        <w:adjustRightInd w:val="0"/>
        <w:snapToGrid w:val="0"/>
        <w:spacing w:afterLines="50" w:after="120"/>
        <w:ind w:firstLineChars="200" w:firstLine="440"/>
        <w:rPr>
          <w:rFonts w:ascii="Times New Roman" w:hAnsi="Times New Roman"/>
          <w:szCs w:val="21"/>
        </w:rPr>
      </w:pPr>
      <w:r w:rsidRPr="00653E8C">
        <w:rPr>
          <w:rFonts w:ascii="Times New Roman" w:hAnsi="宋体"/>
          <w:szCs w:val="21"/>
        </w:rPr>
        <w:t>目标食品种</w:t>
      </w:r>
      <w:bookmarkStart w:id="0" w:name="_GoBack"/>
      <w:bookmarkEnd w:id="0"/>
      <w:r w:rsidRPr="00653E8C">
        <w:rPr>
          <w:rFonts w:ascii="Times New Roman" w:hAnsi="宋体"/>
          <w:szCs w:val="21"/>
        </w:rPr>
        <w:t>类包括：麦片、固体正餐、冷冻比萨饼、墨西哥正餐、冰冻面点、风味零食、蔬菜罐头、配菜、汤和各类混合烘焙粉。略低于减钠目标的三类食品分别为麦片（</w:t>
      </w:r>
      <w:r w:rsidRPr="00653E8C">
        <w:rPr>
          <w:rFonts w:ascii="Times New Roman" w:hAnsi="Times New Roman"/>
          <w:szCs w:val="21"/>
        </w:rPr>
        <w:t>18%</w:t>
      </w:r>
      <w:r w:rsidRPr="00653E8C">
        <w:rPr>
          <w:rFonts w:ascii="Times New Roman" w:hAnsi="宋体"/>
          <w:szCs w:val="21"/>
        </w:rPr>
        <w:t>）、</w:t>
      </w:r>
      <w:r w:rsidRPr="00653E8C">
        <w:rPr>
          <w:rFonts w:ascii="Times New Roman" w:hAnsi="Times New Roman"/>
          <w:szCs w:val="21"/>
        </w:rPr>
        <w:t>Progresso</w:t>
      </w:r>
      <w:r w:rsidRPr="00653E8C">
        <w:rPr>
          <w:rFonts w:ascii="Times New Roman" w:hAnsi="宋体"/>
          <w:szCs w:val="21"/>
        </w:rPr>
        <w:t>牌即食汤（</w:t>
      </w:r>
      <w:r w:rsidRPr="00653E8C">
        <w:rPr>
          <w:rFonts w:ascii="Times New Roman" w:hAnsi="Times New Roman"/>
          <w:szCs w:val="21"/>
        </w:rPr>
        <w:t>19%</w:t>
      </w:r>
      <w:r w:rsidRPr="00653E8C">
        <w:rPr>
          <w:rFonts w:ascii="Times New Roman" w:hAnsi="宋体"/>
          <w:szCs w:val="21"/>
        </w:rPr>
        <w:t>）和</w:t>
      </w:r>
      <w:r w:rsidRPr="00653E8C">
        <w:rPr>
          <w:rFonts w:ascii="Times New Roman" w:hAnsi="Times New Roman"/>
          <w:szCs w:val="21"/>
        </w:rPr>
        <w:t>Old El Paso</w:t>
      </w:r>
      <w:r w:rsidRPr="00653E8C">
        <w:rPr>
          <w:rFonts w:ascii="Times New Roman" w:hAnsi="宋体"/>
          <w:szCs w:val="21"/>
        </w:rPr>
        <w:t>牌墨西哥正餐（</w:t>
      </w:r>
      <w:r w:rsidRPr="00653E8C">
        <w:rPr>
          <w:rFonts w:ascii="Times New Roman" w:hAnsi="Times New Roman"/>
          <w:szCs w:val="21"/>
        </w:rPr>
        <w:t>19%</w:t>
      </w:r>
      <w:r w:rsidRPr="00653E8C">
        <w:rPr>
          <w:rFonts w:ascii="Times New Roman" w:hAnsi="宋体"/>
          <w:szCs w:val="21"/>
        </w:rPr>
        <w:t>）。减钠率最高的食品是风味零食（</w:t>
      </w:r>
      <w:r w:rsidRPr="00653E8C">
        <w:rPr>
          <w:rFonts w:ascii="Times New Roman" w:hAnsi="Times New Roman"/>
          <w:szCs w:val="21"/>
        </w:rPr>
        <w:t>35%</w:t>
      </w:r>
      <w:r w:rsidRPr="00653E8C">
        <w:rPr>
          <w:rFonts w:ascii="Times New Roman" w:hAnsi="宋体"/>
          <w:szCs w:val="21"/>
        </w:rPr>
        <w:t>）和冷冻比萨饼（</w:t>
      </w:r>
      <w:r w:rsidRPr="00653E8C">
        <w:rPr>
          <w:rFonts w:ascii="Times New Roman" w:hAnsi="Times New Roman"/>
          <w:szCs w:val="21"/>
        </w:rPr>
        <w:t>29%</w:t>
      </w:r>
      <w:r w:rsidRPr="00653E8C">
        <w:rPr>
          <w:rFonts w:ascii="Times New Roman" w:hAnsi="宋体"/>
          <w:szCs w:val="21"/>
        </w:rPr>
        <w:t>）。详细信息请点击此链接</w:t>
      </w:r>
      <w:r w:rsidRPr="00653E8C">
        <w:rPr>
          <w:rFonts w:ascii="Times New Roman" w:hAnsi="Times New Roman"/>
          <w:szCs w:val="21"/>
        </w:rPr>
        <w:t xml:space="preserve">: </w:t>
      </w:r>
      <w:hyperlink r:id="rId13" w:history="1">
        <w:r w:rsidRPr="00653E8C">
          <w:rPr>
            <w:rStyle w:val="Hyperlink"/>
            <w:rFonts w:ascii="Times New Roman" w:hAnsi="Times New Roman"/>
            <w:szCs w:val="21"/>
          </w:rPr>
          <w:t>https://www.bellinstitute.com/articles/Sodium%20Reduction.aspx</w:t>
        </w:r>
      </w:hyperlink>
      <w:r w:rsidRPr="00653E8C">
        <w:rPr>
          <w:rFonts w:ascii="Times New Roman" w:hAnsi="Times New Roman"/>
          <w:szCs w:val="21"/>
        </w:rPr>
        <w:t xml:space="preserve">. </w:t>
      </w:r>
    </w:p>
    <w:p w:rsidR="00D5771C" w:rsidRPr="00653E8C" w:rsidRDefault="00D5771C" w:rsidP="00D5771C">
      <w:pPr>
        <w:adjustRightInd w:val="0"/>
        <w:snapToGrid w:val="0"/>
        <w:spacing w:afterLines="50" w:after="120"/>
        <w:ind w:firstLineChars="200" w:firstLine="440"/>
        <w:rPr>
          <w:rFonts w:ascii="Times New Roman" w:hAnsi="Times New Roman"/>
          <w:szCs w:val="21"/>
        </w:rPr>
      </w:pPr>
    </w:p>
    <w:p w:rsidR="00971964" w:rsidRDefault="00971964" w:rsidP="00971964">
      <w:pPr>
        <w:pStyle w:val="Default"/>
        <w:rPr>
          <w:rFonts w:ascii="Arial" w:hAnsi="Arial" w:cs="Arial"/>
          <w:color w:val="auto"/>
          <w:sz w:val="20"/>
          <w:szCs w:val="20"/>
          <w:lang w:eastAsia="zh-CN"/>
        </w:rPr>
      </w:pPr>
    </w:p>
    <w:p w:rsidR="00971964" w:rsidRDefault="00971964" w:rsidP="00971964">
      <w:pPr>
        <w:spacing w:line="252" w:lineRule="auto"/>
        <w:rPr>
          <w:rFonts w:ascii="Arial" w:hAnsi="Arial" w:cs="Arial"/>
          <w:sz w:val="20"/>
          <w:szCs w:val="20"/>
        </w:rPr>
      </w:pPr>
    </w:p>
    <w:p w:rsidR="00971964" w:rsidRDefault="00FB4255" w:rsidP="00F14750">
      <w:pPr>
        <w:adjustRightInd w:val="0"/>
        <w:snapToGrid w:val="0"/>
        <w:spacing w:afterLines="50" w:after="120"/>
        <w:rPr>
          <w:rFonts w:ascii="Arial" w:eastAsiaTheme="minorEastAsia" w:hAnsi="Arial" w:cs="Arial"/>
          <w:sz w:val="20"/>
          <w:szCs w:val="20"/>
        </w:rPr>
      </w:pPr>
      <w:r w:rsidRPr="00FB4255">
        <w:rPr>
          <w:rFonts w:ascii="Arial" w:eastAsiaTheme="minorEastAsia" w:hAnsi="Arial" w:cs="Arial" w:hint="eastAsia"/>
          <w:sz w:val="20"/>
          <w:szCs w:val="20"/>
        </w:rPr>
        <w:t>感谢</w:t>
      </w:r>
      <w:r w:rsidRPr="00FB4255">
        <w:rPr>
          <w:rFonts w:ascii="Arial" w:eastAsiaTheme="minorEastAsia" w:hAnsi="Arial" w:cs="Arial"/>
          <w:sz w:val="20"/>
          <w:szCs w:val="20"/>
        </w:rPr>
        <w:t>您一直</w:t>
      </w:r>
      <w:r w:rsidRPr="00FB4255">
        <w:rPr>
          <w:rFonts w:ascii="Arial" w:eastAsiaTheme="minorEastAsia" w:hAnsi="Arial" w:cs="Arial" w:hint="eastAsia"/>
          <w:sz w:val="20"/>
          <w:szCs w:val="20"/>
        </w:rPr>
        <w:t>以来</w:t>
      </w:r>
      <w:r>
        <w:rPr>
          <w:rFonts w:ascii="Arial" w:eastAsiaTheme="minorEastAsia" w:hAnsi="Arial" w:cs="Arial" w:hint="eastAsia"/>
          <w:sz w:val="20"/>
          <w:szCs w:val="20"/>
        </w:rPr>
        <w:t>对</w:t>
      </w:r>
      <w:r>
        <w:rPr>
          <w:rFonts w:ascii="Arial" w:eastAsiaTheme="minorEastAsia" w:hAnsi="Arial" w:cs="Arial"/>
          <w:sz w:val="20"/>
          <w:szCs w:val="20"/>
        </w:rPr>
        <w:t>减盐</w:t>
      </w:r>
      <w:r>
        <w:rPr>
          <w:rFonts w:ascii="Arial" w:eastAsiaTheme="minorEastAsia" w:hAnsi="Arial" w:cs="Arial" w:hint="eastAsia"/>
          <w:sz w:val="20"/>
          <w:szCs w:val="20"/>
        </w:rPr>
        <w:t>活动</w:t>
      </w:r>
      <w:r>
        <w:rPr>
          <w:rFonts w:ascii="Arial" w:eastAsiaTheme="minorEastAsia" w:hAnsi="Arial" w:cs="Arial"/>
          <w:sz w:val="20"/>
          <w:szCs w:val="20"/>
        </w:rPr>
        <w:t>的支持。</w:t>
      </w:r>
    </w:p>
    <w:p w:rsidR="00FB4255" w:rsidRPr="00FB4255" w:rsidRDefault="00FB4255" w:rsidP="00F14750">
      <w:pPr>
        <w:adjustRightInd w:val="0"/>
        <w:snapToGrid w:val="0"/>
        <w:spacing w:afterLines="50" w:after="120"/>
        <w:rPr>
          <w:rFonts w:ascii="Arial" w:eastAsiaTheme="minorEastAsia" w:hAnsi="Arial" w:cs="Arial"/>
          <w:sz w:val="20"/>
          <w:szCs w:val="20"/>
        </w:rPr>
      </w:pPr>
    </w:p>
    <w:p w:rsidR="00E1357F" w:rsidRDefault="00E1357F" w:rsidP="00B24E61">
      <w:pPr>
        <w:spacing w:after="120" w:line="360" w:lineRule="auto"/>
        <w:ind w:right="300"/>
        <w:rPr>
          <w:rFonts w:ascii="Arial" w:hAnsi="Arial" w:cs="Arial"/>
          <w:iCs/>
          <w:sz w:val="20"/>
          <w:szCs w:val="20"/>
        </w:rPr>
      </w:pPr>
      <w:r>
        <w:rPr>
          <w:rFonts w:ascii="Arial" w:hAnsi="Arial" w:cs="Arial" w:hint="eastAsia"/>
          <w:iCs/>
          <w:sz w:val="20"/>
          <w:szCs w:val="20"/>
        </w:rPr>
        <w:t>请注意：</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lastRenderedPageBreak/>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14" w:history="1">
        <w:r>
          <w:rPr>
            <w:rStyle w:val="Hyperlink"/>
            <w:rFonts w:ascii="Arial" w:hAnsi="Arial" w:cs="Arial"/>
            <w:iCs/>
            <w:sz w:val="20"/>
            <w:szCs w:val="20"/>
          </w:rPr>
          <w:t>caiy@cn.cdc.gov)</w:t>
        </w:r>
      </w:hyperlink>
      <w:r>
        <w:rPr>
          <w:rFonts w:ascii="Arial" w:hAnsi="Arial" w:cs="Arial" w:hint="eastAsia"/>
          <w:iCs/>
          <w:sz w:val="20"/>
          <w:szCs w:val="20"/>
        </w:rPr>
        <w:t>。</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D5771C" w:rsidRDefault="00D5771C" w:rsidP="00D5771C">
      <w:pPr>
        <w:pStyle w:val="NoSpacing"/>
        <w:spacing w:after="240"/>
        <w:rPr>
          <w:rFonts w:ascii="Arial" w:hAnsi="Arial" w:cs="Arial"/>
          <w:sz w:val="20"/>
          <w:szCs w:val="20"/>
        </w:rPr>
      </w:pPr>
      <w:r>
        <w:rPr>
          <w:rFonts w:ascii="Arial" w:hAnsi="Arial" w:cs="Arial"/>
          <w:sz w:val="20"/>
          <w:szCs w:val="20"/>
        </w:rPr>
        <w:t>Hello –</w:t>
      </w:r>
    </w:p>
    <w:p w:rsidR="00D5771C" w:rsidRDefault="00D5771C" w:rsidP="00D5771C">
      <w:pPr>
        <w:pStyle w:val="NoSpacing"/>
        <w:spacing w:after="240"/>
        <w:rPr>
          <w:rFonts w:ascii="Arial" w:hAnsi="Arial" w:cs="Arial"/>
          <w:sz w:val="20"/>
          <w:szCs w:val="20"/>
        </w:rPr>
      </w:pPr>
      <w:r>
        <w:rPr>
          <w:rFonts w:ascii="Arial" w:hAnsi="Arial" w:cs="Arial"/>
          <w:sz w:val="20"/>
          <w:szCs w:val="20"/>
        </w:rPr>
        <w:t xml:space="preserve">This week’s CDC Salt e-Update includes new resources on sodium reduction for public health and the food industry, and successful sodium reduction efforts by the food industry. </w:t>
      </w:r>
    </w:p>
    <w:p w:rsidR="00D5771C" w:rsidRDefault="00D5771C" w:rsidP="00D5771C">
      <w:pPr>
        <w:autoSpaceDE w:val="0"/>
        <w:autoSpaceDN w:val="0"/>
        <w:rPr>
          <w:rFonts w:ascii="Arial" w:hAnsi="Arial" w:cs="Arial"/>
          <w:b/>
          <w:bCs/>
          <w:sz w:val="20"/>
          <w:szCs w:val="20"/>
          <w:u w:val="single"/>
        </w:rPr>
      </w:pPr>
      <w:r>
        <w:rPr>
          <w:rFonts w:ascii="Arial" w:hAnsi="Arial" w:cs="Arial"/>
          <w:b/>
          <w:bCs/>
          <w:sz w:val="20"/>
          <w:szCs w:val="20"/>
          <w:u w:val="single"/>
        </w:rPr>
        <w:t xml:space="preserve">New Sodium Reduction Resources for Public Health and the Food Industry </w:t>
      </w:r>
    </w:p>
    <w:p w:rsidR="00D5771C" w:rsidRDefault="00D5771C" w:rsidP="00D5771C">
      <w:pPr>
        <w:autoSpaceDE w:val="0"/>
        <w:autoSpaceDN w:val="0"/>
        <w:rPr>
          <w:rFonts w:ascii="Arial" w:hAnsi="Arial" w:cs="Arial"/>
          <w:sz w:val="20"/>
          <w:szCs w:val="20"/>
        </w:rPr>
      </w:pPr>
      <w:r>
        <w:rPr>
          <w:rFonts w:ascii="Arial" w:hAnsi="Arial" w:cs="Arial"/>
          <w:sz w:val="20"/>
          <w:szCs w:val="20"/>
        </w:rPr>
        <w:t>New resources have recently been released to aid public health and foodservice providers with reducing sodium. These resources include a video released by the Marion County, Indiana, Public Health Department, one of CDC’s Sodium Reduction in Communities Program grantees, related to modifying recipes to improve flavor and nutritional content. The video and an accompanying resource guide may be found here:  </w:t>
      </w:r>
      <w:hyperlink r:id="rId15" w:history="1">
        <w:r>
          <w:rPr>
            <w:rStyle w:val="Hyperlink"/>
            <w:rFonts w:ascii="Arial" w:hAnsi="Arial" w:cs="Arial"/>
            <w:sz w:val="20"/>
            <w:szCs w:val="20"/>
          </w:rPr>
          <w:t>http://marionhealth.org/programs/population-health/chronic-disease/sodium-reduction-in-communities-program/</w:t>
        </w:r>
      </w:hyperlink>
      <w:r>
        <w:rPr>
          <w:rFonts w:ascii="Arial" w:hAnsi="Arial" w:cs="Arial"/>
          <w:sz w:val="20"/>
          <w:szCs w:val="20"/>
        </w:rPr>
        <w:t xml:space="preserve">. </w:t>
      </w:r>
    </w:p>
    <w:p w:rsidR="00D5771C" w:rsidRDefault="00D5771C" w:rsidP="00D5771C">
      <w:pPr>
        <w:pStyle w:val="NormalWeb"/>
        <w:rPr>
          <w:rFonts w:ascii="Arial" w:hAnsi="Arial" w:cs="Arial"/>
          <w:sz w:val="20"/>
          <w:szCs w:val="20"/>
          <w:lang w:eastAsia="en-US"/>
        </w:rPr>
      </w:pPr>
      <w:r>
        <w:rPr>
          <w:rFonts w:ascii="Arial" w:hAnsi="Arial" w:cs="Arial"/>
          <w:sz w:val="20"/>
          <w:szCs w:val="20"/>
        </w:rPr>
        <w:t xml:space="preserve">Additionally, a tip sheet entitled, “Sodium Reduction in Food Service: A Resource for Public Health Professionals Partnering with Food Service Providers” covers topics such as assessing the capacity of a food service operation to modify recipes, balancing public health/nutrition goals with business goals, and cost-effective cooking techniques to reduce the amount of salt used in common food items. The tip sheet was developed by the National Network of Public Health Institutes in collaboration with CDC and the Culinary Institute of America. The tip sheet may be found here: </w:t>
      </w:r>
      <w:hyperlink r:id="rId16" w:history="1">
        <w:r>
          <w:rPr>
            <w:rStyle w:val="Hyperlink"/>
            <w:rFonts w:ascii="Arial" w:hAnsi="Arial" w:cs="Arial"/>
            <w:sz w:val="20"/>
            <w:szCs w:val="20"/>
          </w:rPr>
          <w:t>https://nnphi.org/wp-content/uploads/2015/11/SodiumTipSheets_FINAL.pdf</w:t>
        </w:r>
      </w:hyperlink>
      <w:r>
        <w:rPr>
          <w:rFonts w:ascii="Arial" w:hAnsi="Arial" w:cs="Arial"/>
          <w:sz w:val="20"/>
          <w:szCs w:val="20"/>
        </w:rPr>
        <w:t xml:space="preserve"> and a related web forum series on which the tip sheet is based may be found here: </w:t>
      </w:r>
      <w:hyperlink r:id="rId17" w:tgtFrame="_blank" w:history="1">
        <w:r>
          <w:rPr>
            <w:rStyle w:val="Hyperlink"/>
            <w:rFonts w:ascii="Arial" w:hAnsi="Arial" w:cs="Arial"/>
            <w:sz w:val="20"/>
            <w:szCs w:val="20"/>
          </w:rPr>
          <w:t>Connecting Public Health and Food Service Providers</w:t>
        </w:r>
      </w:hyperlink>
      <w:r>
        <w:rPr>
          <w:rFonts w:ascii="Arial" w:hAnsi="Arial" w:cs="Arial"/>
          <w:sz w:val="20"/>
          <w:szCs w:val="20"/>
        </w:rPr>
        <w:t>.</w:t>
      </w:r>
    </w:p>
    <w:p w:rsidR="00D5771C" w:rsidRDefault="00D5771C" w:rsidP="00D5771C">
      <w:pPr>
        <w:rPr>
          <w:rFonts w:ascii="Arial" w:hAnsi="Arial" w:cs="Arial"/>
          <w:b/>
          <w:bCs/>
          <w:sz w:val="20"/>
          <w:szCs w:val="20"/>
        </w:rPr>
      </w:pPr>
      <w:hyperlink r:id="rId18" w:history="1">
        <w:r>
          <w:rPr>
            <w:rStyle w:val="Hyperlink"/>
            <w:rFonts w:ascii="Arial" w:hAnsi="Arial" w:cs="Arial"/>
            <w:b/>
            <w:bCs/>
            <w:sz w:val="20"/>
            <w:szCs w:val="20"/>
          </w:rPr>
          <w:t>General Mills Meets Sodium Reduction Goal in 7 of 10 Product Categories</w:t>
        </w:r>
      </w:hyperlink>
    </w:p>
    <w:p w:rsidR="00D5771C" w:rsidRDefault="00D5771C" w:rsidP="00D5771C">
      <w:pPr>
        <w:rPr>
          <w:rFonts w:ascii="Arial" w:hAnsi="Arial" w:cs="Arial"/>
          <w:sz w:val="20"/>
          <w:szCs w:val="20"/>
          <w:lang w:val="en"/>
        </w:rPr>
      </w:pPr>
      <w:r>
        <w:rPr>
          <w:rFonts w:ascii="Arial" w:hAnsi="Arial" w:cs="Arial"/>
          <w:sz w:val="20"/>
          <w:szCs w:val="20"/>
          <w:lang w:val="en"/>
        </w:rPr>
        <w:t>General Mills has achieved the company goal of a 20% reduction in sodium in seven of ten target food categories, according to a recent company statement. Sodium reductions ranging from 18 to 35 percent were made across 10 categories of food, representing more than 350 of the company’s products, and more than one-third of current U.S. Retail sales volume.</w:t>
      </w:r>
    </w:p>
    <w:p w:rsidR="00D5771C" w:rsidRDefault="00D5771C" w:rsidP="00D5771C">
      <w:pPr>
        <w:rPr>
          <w:rFonts w:ascii="Arial" w:hAnsi="Arial" w:cs="Arial"/>
          <w:sz w:val="20"/>
          <w:szCs w:val="20"/>
          <w:lang w:val="en"/>
        </w:rPr>
      </w:pPr>
    </w:p>
    <w:p w:rsidR="00D5771C" w:rsidRDefault="00D5771C" w:rsidP="00D5771C">
      <w:pPr>
        <w:rPr>
          <w:rFonts w:ascii="Arial" w:hAnsi="Arial" w:cs="Arial"/>
          <w:sz w:val="20"/>
          <w:szCs w:val="20"/>
        </w:rPr>
      </w:pPr>
      <w:r>
        <w:rPr>
          <w:rFonts w:ascii="Arial" w:hAnsi="Arial" w:cs="Arial"/>
          <w:sz w:val="20"/>
          <w:szCs w:val="20"/>
          <w:lang w:val="en"/>
        </w:rPr>
        <w:t xml:space="preserve">The target food categories include cereals, dry dinners, frozen pizza, Mexican dinners, refrigerated dough products, savory snacks, canned vegetables, side dishes, soups, and variety baking mixes. </w:t>
      </w:r>
      <w:r>
        <w:rPr>
          <w:rFonts w:ascii="Arial" w:hAnsi="Arial" w:cs="Arial"/>
          <w:sz w:val="20"/>
          <w:szCs w:val="20"/>
        </w:rPr>
        <w:t xml:space="preserve">The three categories falling slightly short of the goal include cereal (18% reduction) and Progresso ready-to-serve soups and Old El Paso Mexican dinners (19% reduction, respectively). The largest reductions in sodium were achieved in the savory snacks category (35%) and frozen pizza (29%). More information may be found here: </w:t>
      </w:r>
      <w:hyperlink r:id="rId19" w:history="1">
        <w:r>
          <w:rPr>
            <w:rStyle w:val="Hyperlink"/>
            <w:rFonts w:ascii="Arial" w:hAnsi="Arial" w:cs="Arial"/>
            <w:sz w:val="20"/>
            <w:szCs w:val="20"/>
          </w:rPr>
          <w:t>https://www.bellinstitute.com/articles/Sodium%20Reduction.aspx</w:t>
        </w:r>
      </w:hyperlink>
      <w:r>
        <w:rPr>
          <w:rFonts w:ascii="Arial" w:hAnsi="Arial" w:cs="Arial"/>
          <w:sz w:val="20"/>
          <w:szCs w:val="20"/>
        </w:rPr>
        <w:t xml:space="preserve">. </w:t>
      </w:r>
    </w:p>
    <w:p w:rsidR="00D5771C" w:rsidRDefault="00D5771C" w:rsidP="00D5771C">
      <w:pPr>
        <w:autoSpaceDE w:val="0"/>
        <w:autoSpaceDN w:val="0"/>
        <w:rPr>
          <w:rFonts w:ascii="Arial" w:hAnsi="Arial" w:cs="Arial"/>
          <w:sz w:val="20"/>
          <w:szCs w:val="20"/>
        </w:rPr>
      </w:pPr>
      <w:r>
        <w:rPr>
          <w:rFonts w:ascii="Arial" w:hAnsi="Arial" w:cs="Arial"/>
          <w:b/>
          <w:bCs/>
          <w:sz w:val="20"/>
          <w:szCs w:val="20"/>
          <w:u w:val="single"/>
        </w:rPr>
        <w:br/>
      </w:r>
      <w:bookmarkStart w:id="1" w:name="_Partner_Support_for"/>
      <w:bookmarkEnd w:id="1"/>
      <w:r>
        <w:rPr>
          <w:rFonts w:ascii="Arial" w:hAnsi="Arial" w:cs="Arial"/>
          <w:sz w:val="20"/>
          <w:szCs w:val="20"/>
        </w:rPr>
        <w:t>Thank you for your continued engagement in sodium reduction.</w:t>
      </w:r>
    </w:p>
    <w:p w:rsidR="00D5771C" w:rsidRDefault="00D5771C" w:rsidP="00D5771C">
      <w:pPr>
        <w:spacing w:line="252" w:lineRule="auto"/>
        <w:rPr>
          <w:sz w:val="20"/>
          <w:szCs w:val="20"/>
        </w:rPr>
      </w:pPr>
    </w:p>
    <w:p w:rsidR="00D5771C" w:rsidRDefault="00D5771C" w:rsidP="00D5771C">
      <w:pPr>
        <w:rPr>
          <w:rFonts w:ascii="Arial" w:hAnsi="Arial" w:cs="Arial"/>
          <w:sz w:val="20"/>
          <w:szCs w:val="20"/>
        </w:rPr>
      </w:pPr>
      <w:r>
        <w:rPr>
          <w:rFonts w:ascii="Arial" w:hAnsi="Arial" w:cs="Arial"/>
          <w:i/>
          <w:iCs/>
          <w:sz w:val="20"/>
          <w:szCs w:val="20"/>
        </w:rPr>
        <w:t>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w:t>
      </w:r>
      <w:r>
        <w:rPr>
          <w:rFonts w:ascii="Arial" w:hAnsi="Arial" w:cs="Arial"/>
          <w:i/>
          <w:iCs/>
          <w:sz w:val="20"/>
          <w:szCs w:val="20"/>
        </w:rPr>
        <w:lastRenderedPageBreak/>
        <w:t>Update will be sent every two weeks. For questions or comments, or to be added or removed from this communication, contact Jessica Levings at</w:t>
      </w:r>
      <w:r>
        <w:rPr>
          <w:rFonts w:ascii="Arial" w:hAnsi="Arial" w:cs="Arial"/>
          <w:sz w:val="20"/>
          <w:szCs w:val="20"/>
        </w:rPr>
        <w:t xml:space="preserve"> </w:t>
      </w:r>
      <w:hyperlink r:id="rId20" w:history="1">
        <w:r>
          <w:rPr>
            <w:rStyle w:val="Hyperlink"/>
            <w:rFonts w:ascii="Arial" w:hAnsi="Arial" w:cs="Arial"/>
            <w:i/>
            <w:iCs/>
            <w:sz w:val="20"/>
            <w:szCs w:val="20"/>
          </w:rPr>
          <w:t>JLevings@cdc.gov</w:t>
        </w:r>
      </w:hyperlink>
      <w:r>
        <w:rPr>
          <w:rFonts w:ascii="Arial" w:hAnsi="Arial" w:cs="Arial"/>
          <w:i/>
          <w:iCs/>
          <w:sz w:val="20"/>
          <w:szCs w:val="20"/>
        </w:rPr>
        <w:t xml:space="preserve">. </w:t>
      </w:r>
    </w:p>
    <w:p w:rsidR="00D5771C" w:rsidRDefault="00D5771C" w:rsidP="00D5771C">
      <w:pPr>
        <w:pStyle w:val="NormalWeb"/>
        <w:rPr>
          <w:color w:val="1F497D"/>
          <w:sz w:val="20"/>
          <w:szCs w:val="20"/>
        </w:rPr>
      </w:pPr>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r>
        <w:rPr>
          <w:sz w:val="20"/>
          <w:szCs w:val="20"/>
        </w:rPr>
        <w:t>.</w:t>
      </w:r>
    </w:p>
    <w:p w:rsidR="00E1357F" w:rsidRPr="005B13F4" w:rsidRDefault="00E1357F" w:rsidP="00D5771C">
      <w:pPr>
        <w:pStyle w:val="NoSpacing"/>
        <w:spacing w:after="240"/>
        <w:rPr>
          <w:rFonts w:ascii="Times New Roman" w:hAnsi="Times New Roman"/>
          <w:sz w:val="20"/>
          <w:szCs w:val="20"/>
        </w:rPr>
      </w:pPr>
    </w:p>
    <w:sectPr w:rsidR="00E1357F" w:rsidRPr="005B13F4" w:rsidSect="00A97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58" w:rsidRDefault="001B3658" w:rsidP="004B38F6">
      <w:r>
        <w:separator/>
      </w:r>
    </w:p>
  </w:endnote>
  <w:endnote w:type="continuationSeparator" w:id="0">
    <w:p w:rsidR="001B3658" w:rsidRDefault="001B3658" w:rsidP="004B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58" w:rsidRDefault="001B3658" w:rsidP="004B38F6">
      <w:r>
        <w:separator/>
      </w:r>
    </w:p>
  </w:footnote>
  <w:footnote w:type="continuationSeparator" w:id="0">
    <w:p w:rsidR="001B3658" w:rsidRDefault="001B3658" w:rsidP="004B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077"/>
    <w:multiLevelType w:val="hybridMultilevel"/>
    <w:tmpl w:val="60E23F5C"/>
    <w:lvl w:ilvl="0" w:tplc="D4F69D64">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15:restartNumberingAfterBreak="0">
    <w:nsid w:val="12D17E23"/>
    <w:multiLevelType w:val="hybridMultilevel"/>
    <w:tmpl w:val="D738418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199D444F"/>
    <w:multiLevelType w:val="multilevel"/>
    <w:tmpl w:val="96605E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8050A59"/>
    <w:multiLevelType w:val="hybridMultilevel"/>
    <w:tmpl w:val="4F7E2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E8E61BE"/>
    <w:multiLevelType w:val="hybridMultilevel"/>
    <w:tmpl w:val="91A25B7C"/>
    <w:lvl w:ilvl="0" w:tplc="FF9A8366">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9F379E"/>
    <w:multiLevelType w:val="hybridMultilevel"/>
    <w:tmpl w:val="ED6849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96E5183"/>
    <w:multiLevelType w:val="hybridMultilevel"/>
    <w:tmpl w:val="BA723E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B802D3D"/>
    <w:multiLevelType w:val="hybridMultilevel"/>
    <w:tmpl w:val="5A4EB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7"/>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317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8"/>
    <w:rsid w:val="00027324"/>
    <w:rsid w:val="00040762"/>
    <w:rsid w:val="00053074"/>
    <w:rsid w:val="0014081C"/>
    <w:rsid w:val="00152D2A"/>
    <w:rsid w:val="001B3658"/>
    <w:rsid w:val="00242799"/>
    <w:rsid w:val="002504BC"/>
    <w:rsid w:val="00282300"/>
    <w:rsid w:val="002C4C62"/>
    <w:rsid w:val="00332838"/>
    <w:rsid w:val="003425B4"/>
    <w:rsid w:val="00357773"/>
    <w:rsid w:val="00363A77"/>
    <w:rsid w:val="003812BF"/>
    <w:rsid w:val="00393AC7"/>
    <w:rsid w:val="003B2BD1"/>
    <w:rsid w:val="003D6F97"/>
    <w:rsid w:val="004B38F6"/>
    <w:rsid w:val="00571BCF"/>
    <w:rsid w:val="005B13F4"/>
    <w:rsid w:val="00601EC0"/>
    <w:rsid w:val="006856EC"/>
    <w:rsid w:val="00687253"/>
    <w:rsid w:val="006A2E43"/>
    <w:rsid w:val="006B5023"/>
    <w:rsid w:val="006C4FE0"/>
    <w:rsid w:val="007045B0"/>
    <w:rsid w:val="007E1095"/>
    <w:rsid w:val="00800095"/>
    <w:rsid w:val="00833AEA"/>
    <w:rsid w:val="008A5C5A"/>
    <w:rsid w:val="00920E2B"/>
    <w:rsid w:val="00941BD6"/>
    <w:rsid w:val="00971964"/>
    <w:rsid w:val="009D0677"/>
    <w:rsid w:val="00A55D9F"/>
    <w:rsid w:val="00A979B8"/>
    <w:rsid w:val="00B24E61"/>
    <w:rsid w:val="00CB08F2"/>
    <w:rsid w:val="00CD4E09"/>
    <w:rsid w:val="00D33F9D"/>
    <w:rsid w:val="00D5771C"/>
    <w:rsid w:val="00D96B0C"/>
    <w:rsid w:val="00E0237B"/>
    <w:rsid w:val="00E1357F"/>
    <w:rsid w:val="00E240CA"/>
    <w:rsid w:val="00F14750"/>
    <w:rsid w:val="00F75F49"/>
    <w:rsid w:val="00FB1737"/>
    <w:rsid w:val="00FB4255"/>
    <w:rsid w:val="04A86A3D"/>
    <w:rsid w:val="07B5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591552-86FD-4407-B6E2-CC27C8E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B8"/>
    <w:rPr>
      <w:rFonts w:ascii="Calibri" w:hAnsi="Calibri"/>
      <w:sz w:val="22"/>
      <w:szCs w:val="22"/>
    </w:rPr>
  </w:style>
  <w:style w:type="paragraph" w:styleId="Heading2">
    <w:name w:val="heading 2"/>
    <w:basedOn w:val="Normal"/>
    <w:link w:val="Heading2Char"/>
    <w:uiPriority w:val="9"/>
    <w:unhideWhenUsed/>
    <w:qFormat/>
    <w:rsid w:val="00A979B8"/>
    <w:pPr>
      <w:spacing w:after="150"/>
      <w:outlineLvl w:val="1"/>
    </w:pPr>
    <w:rPr>
      <w:rFonts w:ascii="Helvetica" w:hAnsi="Helvetica" w:cs="Helvetica"/>
      <w:color w:val="50505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9B8"/>
    <w:rPr>
      <w:lang w:eastAsia="en-US"/>
    </w:rPr>
  </w:style>
  <w:style w:type="paragraph" w:styleId="BalloonText">
    <w:name w:val="Balloon Text"/>
    <w:basedOn w:val="Normal"/>
    <w:link w:val="BalloonTextChar"/>
    <w:uiPriority w:val="99"/>
    <w:unhideWhenUsed/>
    <w:rsid w:val="00A979B8"/>
    <w:rPr>
      <w:rFonts w:ascii="Tahoma" w:hAnsi="Tahoma" w:cs="Tahoma"/>
      <w:sz w:val="16"/>
      <w:szCs w:val="16"/>
    </w:rPr>
  </w:style>
  <w:style w:type="paragraph" w:styleId="NormalWeb">
    <w:name w:val="Normal (Web)"/>
    <w:basedOn w:val="Normal"/>
    <w:uiPriority w:val="99"/>
    <w:unhideWhenUsed/>
    <w:rsid w:val="00A979B8"/>
    <w:rPr>
      <w:sz w:val="24"/>
    </w:rPr>
  </w:style>
  <w:style w:type="character" w:styleId="Strong">
    <w:name w:val="Strong"/>
    <w:basedOn w:val="DefaultParagraphFont"/>
    <w:uiPriority w:val="22"/>
    <w:qFormat/>
    <w:rsid w:val="00A979B8"/>
    <w:rPr>
      <w:b/>
      <w:bCs/>
    </w:rPr>
  </w:style>
  <w:style w:type="character" w:styleId="FollowedHyperlink">
    <w:name w:val="FollowedHyperlink"/>
    <w:basedOn w:val="DefaultParagraphFont"/>
    <w:unhideWhenUsed/>
    <w:rsid w:val="00A979B8"/>
    <w:rPr>
      <w:color w:val="800080"/>
      <w:u w:val="none"/>
    </w:rPr>
  </w:style>
  <w:style w:type="character" w:styleId="Hyperlink">
    <w:name w:val="Hyperlink"/>
    <w:basedOn w:val="DefaultParagraphFont"/>
    <w:uiPriority w:val="99"/>
    <w:unhideWhenUsed/>
    <w:rsid w:val="00A979B8"/>
    <w:rPr>
      <w:color w:val="0022CC"/>
      <w:u w:val="none"/>
    </w:rPr>
  </w:style>
  <w:style w:type="paragraph" w:customStyle="1" w:styleId="1">
    <w:name w:val="无间隔1"/>
    <w:basedOn w:val="Normal"/>
    <w:uiPriority w:val="1"/>
    <w:qFormat/>
    <w:rsid w:val="00A979B8"/>
  </w:style>
  <w:style w:type="paragraph" w:customStyle="1" w:styleId="Default">
    <w:name w:val="Default"/>
    <w:basedOn w:val="Normal"/>
    <w:uiPriority w:val="99"/>
    <w:rsid w:val="00A979B8"/>
    <w:pPr>
      <w:autoSpaceDE w:val="0"/>
      <w:autoSpaceDN w:val="0"/>
    </w:pPr>
    <w:rPr>
      <w:rFonts w:ascii="Cambria" w:hAnsi="Cambria"/>
      <w:color w:val="000000"/>
      <w:sz w:val="24"/>
      <w:szCs w:val="24"/>
      <w:lang w:eastAsia="en-US"/>
    </w:rPr>
  </w:style>
  <w:style w:type="paragraph" w:customStyle="1" w:styleId="tgt">
    <w:name w:val="tgt"/>
    <w:basedOn w:val="Normal"/>
    <w:uiPriority w:val="99"/>
    <w:rsid w:val="00A979B8"/>
    <w:pPr>
      <w:spacing w:after="126"/>
    </w:pPr>
  </w:style>
  <w:style w:type="paragraph" w:customStyle="1" w:styleId="tgt2">
    <w:name w:val="tgt2"/>
    <w:basedOn w:val="Normal"/>
    <w:uiPriority w:val="99"/>
    <w:rsid w:val="00A979B8"/>
    <w:pPr>
      <w:spacing w:after="150" w:line="360" w:lineRule="auto"/>
    </w:pPr>
    <w:rPr>
      <w:b/>
      <w:sz w:val="31"/>
      <w:szCs w:val="31"/>
    </w:rPr>
  </w:style>
  <w:style w:type="paragraph" w:customStyle="1" w:styleId="tgt4">
    <w:name w:val="tgt4"/>
    <w:basedOn w:val="Normal"/>
    <w:rsid w:val="00A979B8"/>
    <w:pPr>
      <w:spacing w:after="84"/>
    </w:pPr>
    <w:rPr>
      <w:sz w:val="21"/>
      <w:szCs w:val="21"/>
    </w:rPr>
  </w:style>
  <w:style w:type="character" w:customStyle="1" w:styleId="Heading2Char">
    <w:name w:val="Heading 2 Char"/>
    <w:basedOn w:val="DefaultParagraphFont"/>
    <w:link w:val="Heading2"/>
    <w:uiPriority w:val="9"/>
    <w:semiHidden/>
    <w:rsid w:val="00A979B8"/>
    <w:rPr>
      <w:rFonts w:ascii="Helvetica" w:hAnsi="Helvetica" w:cs="Helvetica"/>
      <w:color w:val="505050"/>
      <w:sz w:val="36"/>
      <w:szCs w:val="36"/>
      <w:lang w:eastAsia="en-US"/>
    </w:rPr>
  </w:style>
  <w:style w:type="character" w:customStyle="1" w:styleId="PlainTextChar">
    <w:name w:val="Plain Text Char"/>
    <w:basedOn w:val="DefaultParagraphFont"/>
    <w:link w:val="PlainText"/>
    <w:uiPriority w:val="99"/>
    <w:semiHidden/>
    <w:rsid w:val="00A979B8"/>
    <w:rPr>
      <w:rFonts w:ascii="Calibri" w:hAnsi="Calibri" w:cs="Times New Roman"/>
      <w:lang w:eastAsia="en-US"/>
    </w:rPr>
  </w:style>
  <w:style w:type="character" w:customStyle="1" w:styleId="BalloonTextChar">
    <w:name w:val="Balloon Text Char"/>
    <w:basedOn w:val="DefaultParagraphFont"/>
    <w:link w:val="BalloonText"/>
    <w:uiPriority w:val="99"/>
    <w:semiHidden/>
    <w:rsid w:val="00A979B8"/>
    <w:rPr>
      <w:rFonts w:ascii="Tahoma" w:hAnsi="Tahoma" w:cs="Tahoma"/>
      <w:sz w:val="16"/>
      <w:szCs w:val="16"/>
    </w:rPr>
  </w:style>
  <w:style w:type="paragraph" w:styleId="Header">
    <w:name w:val="header"/>
    <w:basedOn w:val="Normal"/>
    <w:link w:val="HeaderChar"/>
    <w:semiHidden/>
    <w:unhideWhenUsed/>
    <w:rsid w:val="004B3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4B38F6"/>
    <w:rPr>
      <w:rFonts w:ascii="Calibri" w:hAnsi="Calibri"/>
      <w:sz w:val="18"/>
      <w:szCs w:val="18"/>
    </w:rPr>
  </w:style>
  <w:style w:type="paragraph" w:styleId="Footer">
    <w:name w:val="footer"/>
    <w:basedOn w:val="Normal"/>
    <w:link w:val="FooterChar"/>
    <w:uiPriority w:val="99"/>
    <w:semiHidden/>
    <w:unhideWhenUsed/>
    <w:rsid w:val="004B38F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4B38F6"/>
    <w:rPr>
      <w:rFonts w:ascii="Calibri" w:hAnsi="Calibri"/>
      <w:sz w:val="18"/>
      <w:szCs w:val="18"/>
    </w:rPr>
  </w:style>
  <w:style w:type="paragraph" w:styleId="NoSpacing">
    <w:name w:val="No Spacing"/>
    <w:basedOn w:val="Normal"/>
    <w:uiPriority w:val="1"/>
    <w:qFormat/>
    <w:rsid w:val="003B2BD1"/>
  </w:style>
  <w:style w:type="paragraph" w:styleId="ListParagraph">
    <w:name w:val="List Paragraph"/>
    <w:basedOn w:val="Normal"/>
    <w:uiPriority w:val="34"/>
    <w:qFormat/>
    <w:rsid w:val="006C4FE0"/>
    <w:pPr>
      <w:ind w:left="720"/>
    </w:pPr>
    <w:rPr>
      <w:rFonts w:eastAsiaTheme="minorEastAsia"/>
      <w:lang w:eastAsia="en-US"/>
    </w:rPr>
  </w:style>
  <w:style w:type="character" w:customStyle="1" w:styleId="baec5a81-e4d6-4674-97f3-e9220f0136c1">
    <w:name w:val="baec5a81-e4d6-4674-97f3-e9220f0136c1"/>
    <w:basedOn w:val="DefaultParagraphFont"/>
    <w:rsid w:val="00250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513">
      <w:bodyDiv w:val="1"/>
      <w:marLeft w:val="0"/>
      <w:marRight w:val="0"/>
      <w:marTop w:val="0"/>
      <w:marBottom w:val="0"/>
      <w:divBdr>
        <w:top w:val="none" w:sz="0" w:space="0" w:color="auto"/>
        <w:left w:val="none" w:sz="0" w:space="0" w:color="auto"/>
        <w:bottom w:val="none" w:sz="0" w:space="0" w:color="auto"/>
        <w:right w:val="none" w:sz="0" w:space="0" w:color="auto"/>
      </w:divBdr>
    </w:div>
    <w:div w:id="86193165">
      <w:bodyDiv w:val="1"/>
      <w:marLeft w:val="0"/>
      <w:marRight w:val="0"/>
      <w:marTop w:val="0"/>
      <w:marBottom w:val="0"/>
      <w:divBdr>
        <w:top w:val="none" w:sz="0" w:space="0" w:color="auto"/>
        <w:left w:val="none" w:sz="0" w:space="0" w:color="auto"/>
        <w:bottom w:val="none" w:sz="0" w:space="0" w:color="auto"/>
        <w:right w:val="none" w:sz="0" w:space="0" w:color="auto"/>
      </w:divBdr>
    </w:div>
    <w:div w:id="104467217">
      <w:bodyDiv w:val="1"/>
      <w:marLeft w:val="0"/>
      <w:marRight w:val="0"/>
      <w:marTop w:val="0"/>
      <w:marBottom w:val="0"/>
      <w:divBdr>
        <w:top w:val="none" w:sz="0" w:space="0" w:color="auto"/>
        <w:left w:val="none" w:sz="0" w:space="0" w:color="auto"/>
        <w:bottom w:val="none" w:sz="0" w:space="0" w:color="auto"/>
        <w:right w:val="none" w:sz="0" w:space="0" w:color="auto"/>
      </w:divBdr>
    </w:div>
    <w:div w:id="569776687">
      <w:bodyDiv w:val="1"/>
      <w:marLeft w:val="0"/>
      <w:marRight w:val="0"/>
      <w:marTop w:val="0"/>
      <w:marBottom w:val="0"/>
      <w:divBdr>
        <w:top w:val="none" w:sz="0" w:space="0" w:color="auto"/>
        <w:left w:val="none" w:sz="0" w:space="0" w:color="auto"/>
        <w:bottom w:val="none" w:sz="0" w:space="0" w:color="auto"/>
        <w:right w:val="none" w:sz="0" w:space="0" w:color="auto"/>
      </w:divBdr>
    </w:div>
    <w:div w:id="747000557">
      <w:bodyDiv w:val="1"/>
      <w:marLeft w:val="0"/>
      <w:marRight w:val="0"/>
      <w:marTop w:val="0"/>
      <w:marBottom w:val="0"/>
      <w:divBdr>
        <w:top w:val="none" w:sz="0" w:space="0" w:color="auto"/>
        <w:left w:val="none" w:sz="0" w:space="0" w:color="auto"/>
        <w:bottom w:val="none" w:sz="0" w:space="0" w:color="auto"/>
        <w:right w:val="none" w:sz="0" w:space="0" w:color="auto"/>
      </w:divBdr>
    </w:div>
    <w:div w:id="912272965">
      <w:bodyDiv w:val="1"/>
      <w:marLeft w:val="0"/>
      <w:marRight w:val="0"/>
      <w:marTop w:val="0"/>
      <w:marBottom w:val="0"/>
      <w:divBdr>
        <w:top w:val="none" w:sz="0" w:space="0" w:color="auto"/>
        <w:left w:val="none" w:sz="0" w:space="0" w:color="auto"/>
        <w:bottom w:val="none" w:sz="0" w:space="0" w:color="auto"/>
        <w:right w:val="none" w:sz="0" w:space="0" w:color="auto"/>
      </w:divBdr>
    </w:div>
    <w:div w:id="1217860592">
      <w:bodyDiv w:val="1"/>
      <w:marLeft w:val="0"/>
      <w:marRight w:val="0"/>
      <w:marTop w:val="0"/>
      <w:marBottom w:val="0"/>
      <w:divBdr>
        <w:top w:val="none" w:sz="0" w:space="0" w:color="auto"/>
        <w:left w:val="none" w:sz="0" w:space="0" w:color="auto"/>
        <w:bottom w:val="none" w:sz="0" w:space="0" w:color="auto"/>
        <w:right w:val="none" w:sz="0" w:space="0" w:color="auto"/>
      </w:divBdr>
    </w:div>
    <w:div w:id="206563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llinstitute.com/articles/Sodium%20Reduction.aspx" TargetMode="External"/><Relationship Id="rId18" Type="http://schemas.openxmlformats.org/officeDocument/2006/relationships/hyperlink" Target="http://www.reuters.com/article/us-general-mills-sodium-idUSKBN0TY2JZ201512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uters.com/article/us-general-mills-sodium-idUSKBN0TY2JZ20151215" TargetMode="External"/><Relationship Id="rId17" Type="http://schemas.openxmlformats.org/officeDocument/2006/relationships/hyperlink" Target="http://www.dialogue4health.org/web-forums/detail/reducing-sodium-through-food-manufacturing" TargetMode="External"/><Relationship Id="rId2" Type="http://schemas.openxmlformats.org/officeDocument/2006/relationships/numbering" Target="numbering.xml"/><Relationship Id="rId16" Type="http://schemas.openxmlformats.org/officeDocument/2006/relationships/hyperlink" Target="https://nnphi.org/wp-content/uploads/2015/11/SodiumTipSheets_FINAL.pdf" TargetMode="External"/><Relationship Id="rId20" Type="http://schemas.openxmlformats.org/officeDocument/2006/relationships/hyperlink" Target="mailto:JLevings@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logue4health.org/web-forums/detail/reducing-sodium-through-food-manufacturing" TargetMode="External"/><Relationship Id="rId5" Type="http://schemas.openxmlformats.org/officeDocument/2006/relationships/webSettings" Target="webSettings.xml"/><Relationship Id="rId15" Type="http://schemas.openxmlformats.org/officeDocument/2006/relationships/hyperlink" Target="http://marionhealth.org/programs/population-health/chronic-disease/sodium-reduction-in-communities-program/" TargetMode="External"/><Relationship Id="rId10" Type="http://schemas.openxmlformats.org/officeDocument/2006/relationships/hyperlink" Target="https://nnphi.org/wp-content/uploads/2015/11/SodiumTipSheets_FINAL.pdf" TargetMode="External"/><Relationship Id="rId19" Type="http://schemas.openxmlformats.org/officeDocument/2006/relationships/hyperlink" Target="https://www.bellinstitute.com/articles/Sodium%20Reduction.aspx" TargetMode="External"/><Relationship Id="rId4" Type="http://schemas.openxmlformats.org/officeDocument/2006/relationships/settings" Target="settings.xml"/><Relationship Id="rId9" Type="http://schemas.openxmlformats.org/officeDocument/2006/relationships/hyperlink" Target="http://marionhealth.org/programs/population-health/chronic-disease/sodium-reduction-in-communities-program/" TargetMode="External"/><Relationship Id="rId14" Type="http://schemas.openxmlformats.org/officeDocument/2006/relationships/hyperlink" Target="mailto:caiy@cn.cdc.gov)"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CDC</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Cai Ying (CDC/CGH/NCD)</cp:lastModifiedBy>
  <cp:revision>3</cp:revision>
  <dcterms:created xsi:type="dcterms:W3CDTF">2016-02-05T01:51:00Z</dcterms:created>
  <dcterms:modified xsi:type="dcterms:W3CDTF">2016-02-05T01:56:00Z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