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CF55CF">
        <w:rPr>
          <w:rFonts w:ascii="Times New Roman" w:hAnsi="宋体"/>
          <w:sz w:val="24"/>
          <w:szCs w:val="24"/>
        </w:rPr>
        <w:t>5</w:t>
      </w:r>
      <w:r w:rsidR="00E1357F" w:rsidRPr="00E1357F">
        <w:rPr>
          <w:rFonts w:ascii="Times New Roman" w:hAnsi="宋体" w:hint="eastAsia"/>
          <w:sz w:val="24"/>
          <w:szCs w:val="24"/>
        </w:rPr>
        <w:t>月</w:t>
      </w:r>
      <w:r w:rsidR="00DD0516">
        <w:rPr>
          <w:rFonts w:ascii="Times New Roman" w:hAnsi="宋体"/>
          <w:sz w:val="24"/>
          <w:szCs w:val="24"/>
        </w:rPr>
        <w:t>6</w:t>
      </w:r>
      <w:r w:rsidR="00E1357F" w:rsidRPr="00E1357F">
        <w:rPr>
          <w:rFonts w:ascii="Times New Roman" w:hAnsi="宋体" w:hint="eastAsia"/>
          <w:sz w:val="24"/>
          <w:szCs w:val="24"/>
        </w:rPr>
        <w:t>日</w:t>
      </w:r>
    </w:p>
    <w:p w:rsidR="00DD0516" w:rsidRPr="007A4909" w:rsidRDefault="00DD0516" w:rsidP="00DD0516">
      <w:pPr>
        <w:spacing w:after="240"/>
        <w:rPr>
          <w:rFonts w:ascii="宋体" w:cs="宋体"/>
          <w:color w:val="000000"/>
          <w:szCs w:val="21"/>
        </w:rPr>
      </w:pPr>
      <w:r w:rsidRPr="007A4909">
        <w:rPr>
          <w:rFonts w:ascii="宋体" w:hAnsi="宋体" w:cs="宋体" w:hint="eastAsia"/>
          <w:color w:val="000000"/>
          <w:szCs w:val="21"/>
        </w:rPr>
        <w:t>本周的美国疾病控制与预防中心《合理用盐电子报》内容包含有：</w:t>
      </w:r>
      <w:r w:rsidRPr="007A4909">
        <w:rPr>
          <w:rFonts w:ascii="宋体" w:hAnsi="宋体" w:cs="宋体"/>
          <w:color w:val="000000"/>
          <w:szCs w:val="21"/>
        </w:rPr>
        <w:t>1</w:t>
      </w:r>
      <w:r w:rsidRPr="007A4909">
        <w:rPr>
          <w:rFonts w:ascii="宋体" w:hAnsi="宋体" w:cs="宋体" w:hint="eastAsia"/>
          <w:color w:val="000000"/>
          <w:szCs w:val="21"/>
        </w:rPr>
        <w:t>）即将召开的一场网络论坛相关信息，该论坛主题为“同食品行业一道努力降低钠摄入”。</w:t>
      </w:r>
      <w:r w:rsidRPr="007A4909">
        <w:rPr>
          <w:rFonts w:ascii="宋体" w:hAnsi="宋体" w:cs="宋体"/>
          <w:color w:val="000000"/>
          <w:szCs w:val="21"/>
        </w:rPr>
        <w:t>2</w:t>
      </w:r>
      <w:r w:rsidRPr="007A4909">
        <w:rPr>
          <w:rFonts w:ascii="宋体" w:hAnsi="宋体" w:cs="宋体" w:hint="eastAsia"/>
          <w:color w:val="000000"/>
          <w:szCs w:val="21"/>
        </w:rPr>
        <w:t>）对于美国食品与药物管理局就菜单高钠标识规则为餐饮行业提供的最终指南的描述，以及其链接。</w:t>
      </w:r>
    </w:p>
    <w:p w:rsidR="00DD0516" w:rsidRPr="007A4909" w:rsidRDefault="00DD0516" w:rsidP="00DD0516">
      <w:pPr>
        <w:spacing w:before="100" w:beforeAutospacing="1" w:after="100" w:afterAutospacing="1" w:line="350" w:lineRule="atLeast"/>
        <w:rPr>
          <w:rFonts w:ascii="宋体" w:cs="宋体"/>
          <w:b/>
          <w:bCs/>
          <w:color w:val="000000"/>
          <w:szCs w:val="21"/>
          <w:u w:val="single"/>
        </w:rPr>
      </w:pPr>
      <w:bookmarkStart w:id="0" w:name="OLE_LINK8"/>
      <w:r w:rsidRPr="007A4909">
        <w:rPr>
          <w:rFonts w:ascii="宋体" w:hAnsi="宋体" w:cs="宋体" w:hint="eastAsia"/>
          <w:b/>
          <w:bCs/>
          <w:color w:val="000000"/>
          <w:szCs w:val="21"/>
          <w:u w:val="single"/>
        </w:rPr>
        <w:t>连接公共卫生和食品行业：自愿承诺减钠，理解消费者需求</w:t>
      </w:r>
    </w:p>
    <w:bookmarkEnd w:id="0"/>
    <w:p w:rsidR="00DD0516" w:rsidRPr="007A4909" w:rsidRDefault="00DD0516" w:rsidP="00DD0516">
      <w:pPr>
        <w:pStyle w:val="tgt"/>
        <w:shd w:val="clear" w:color="auto" w:fill="F8F8F8"/>
        <w:spacing w:after="96" w:line="315" w:lineRule="atLeast"/>
        <w:rPr>
          <w:rFonts w:cs="Arial"/>
          <w:color w:val="2B2B2B"/>
          <w:sz w:val="21"/>
          <w:szCs w:val="21"/>
        </w:rPr>
      </w:pPr>
      <w:r w:rsidRPr="007A4909">
        <w:rPr>
          <w:color w:val="000000"/>
          <w:sz w:val="21"/>
          <w:szCs w:val="21"/>
        </w:rPr>
        <w:t> </w:t>
      </w:r>
      <w:r w:rsidRPr="007A4909">
        <w:rPr>
          <w:rFonts w:hint="eastAsia"/>
          <w:sz w:val="21"/>
          <w:szCs w:val="21"/>
        </w:rPr>
        <w:t>去年，美国疾病控制和预防中心会同全美公共卫生机构网推出了一个名为“连接公共卫生和食品行业”的系列网络专题，为那些致力于同食品行业合作进行减钠的公共卫生人员分享最佳实践、成功案例及专业技能。通过</w:t>
      </w:r>
      <w:r w:rsidRPr="007A4909">
        <w:rPr>
          <w:color w:val="000000"/>
          <w:sz w:val="21"/>
          <w:szCs w:val="21"/>
        </w:rPr>
        <w:t>Dialogue4Health (D4H)</w:t>
      </w:r>
      <w:r w:rsidRPr="007A4909">
        <w:rPr>
          <w:rFonts w:hint="eastAsia"/>
          <w:color w:val="000000"/>
          <w:sz w:val="21"/>
          <w:szCs w:val="21"/>
        </w:rPr>
        <w:t>平台的注册</w:t>
      </w:r>
      <w:r w:rsidRPr="007A4909">
        <w:rPr>
          <w:rFonts w:hint="eastAsia"/>
          <w:sz w:val="21"/>
          <w:szCs w:val="21"/>
        </w:rPr>
        <w:t>定于东部标准时间</w:t>
      </w:r>
      <w:r w:rsidRPr="007A4909">
        <w:rPr>
          <w:sz w:val="21"/>
          <w:szCs w:val="21"/>
        </w:rPr>
        <w:t>5</w:t>
      </w:r>
      <w:r w:rsidRPr="007A4909">
        <w:rPr>
          <w:rFonts w:hint="eastAsia"/>
          <w:sz w:val="21"/>
          <w:szCs w:val="21"/>
        </w:rPr>
        <w:t>月</w:t>
      </w:r>
      <w:r w:rsidRPr="007A4909">
        <w:rPr>
          <w:sz w:val="21"/>
          <w:szCs w:val="21"/>
        </w:rPr>
        <w:t>10</w:t>
      </w:r>
      <w:r w:rsidRPr="007A4909">
        <w:rPr>
          <w:rFonts w:hint="eastAsia"/>
          <w:sz w:val="21"/>
          <w:szCs w:val="21"/>
        </w:rPr>
        <w:t>日下午</w:t>
      </w:r>
      <w:r w:rsidRPr="007A4909">
        <w:rPr>
          <w:sz w:val="21"/>
          <w:szCs w:val="21"/>
        </w:rPr>
        <w:t>2</w:t>
      </w:r>
      <w:r w:rsidRPr="007A4909">
        <w:rPr>
          <w:rFonts w:hint="eastAsia"/>
          <w:sz w:val="21"/>
          <w:szCs w:val="21"/>
        </w:rPr>
        <w:t>：</w:t>
      </w:r>
      <w:r w:rsidRPr="007A4909">
        <w:rPr>
          <w:sz w:val="21"/>
          <w:szCs w:val="21"/>
        </w:rPr>
        <w:t>00 – 3:30(</w:t>
      </w:r>
      <w:r w:rsidRPr="007A4909">
        <w:rPr>
          <w:rFonts w:hint="eastAsia"/>
          <w:sz w:val="21"/>
          <w:szCs w:val="21"/>
        </w:rPr>
        <w:t>太平洋标准时间上午</w:t>
      </w:r>
      <w:r w:rsidRPr="007A4909">
        <w:rPr>
          <w:sz w:val="21"/>
          <w:szCs w:val="21"/>
        </w:rPr>
        <w:t>11</w:t>
      </w:r>
      <w:r w:rsidRPr="007A4909">
        <w:rPr>
          <w:rFonts w:hint="eastAsia"/>
          <w:sz w:val="21"/>
          <w:szCs w:val="21"/>
        </w:rPr>
        <w:t>：</w:t>
      </w:r>
      <w:r w:rsidRPr="007A4909">
        <w:rPr>
          <w:sz w:val="21"/>
          <w:szCs w:val="21"/>
        </w:rPr>
        <w:t>00 - 12:30)</w:t>
      </w:r>
      <w:r w:rsidRPr="007A4909">
        <w:rPr>
          <w:rFonts w:hint="eastAsia"/>
          <w:color w:val="000000"/>
          <w:sz w:val="21"/>
          <w:szCs w:val="21"/>
        </w:rPr>
        <w:t>开放，届时您将可以重温该系列网络专题。</w:t>
      </w:r>
    </w:p>
    <w:p w:rsidR="00DD0516" w:rsidRPr="007A4909" w:rsidRDefault="00DD0516" w:rsidP="00DD0516">
      <w:pPr>
        <w:spacing w:before="100" w:beforeAutospacing="1" w:after="100" w:afterAutospacing="1" w:line="350" w:lineRule="atLeast"/>
        <w:rPr>
          <w:rFonts w:ascii="宋体" w:cs="Arial"/>
          <w:color w:val="2B2B2B"/>
          <w:szCs w:val="21"/>
          <w:shd w:val="clear" w:color="auto" w:fill="F8F8F8"/>
        </w:rPr>
      </w:pPr>
      <w:r w:rsidRPr="007A4909">
        <w:rPr>
          <w:rFonts w:ascii="宋体" w:hAnsi="宋体" w:cs="宋体" w:hint="eastAsia"/>
          <w:color w:val="000000"/>
          <w:szCs w:val="21"/>
        </w:rPr>
        <w:t>本次</w:t>
      </w:r>
      <w:r w:rsidRPr="007A4909">
        <w:rPr>
          <w:rFonts w:ascii="宋体" w:hAnsi="宋体" w:cs="Arial" w:hint="eastAsia"/>
          <w:color w:val="2B2B2B"/>
          <w:szCs w:val="21"/>
          <w:shd w:val="clear" w:color="auto" w:fill="F8F8F8"/>
        </w:rPr>
        <w:t>网络论坛上将有来自通用磨坊公司下属的贝尔健康与营养研究所以及</w:t>
      </w:r>
      <w:bookmarkStart w:id="1" w:name="OLE_LINK23"/>
      <w:r w:rsidRPr="007A4909">
        <w:rPr>
          <w:rFonts w:ascii="宋体" w:hAnsi="宋体" w:cs="Arial" w:hint="eastAsia"/>
          <w:color w:val="2B2B2B"/>
          <w:szCs w:val="21"/>
          <w:shd w:val="clear" w:color="auto" w:fill="F8F8F8"/>
        </w:rPr>
        <w:t>圣迭戈县卫生与居民服务局</w:t>
      </w:r>
      <w:bookmarkEnd w:id="1"/>
      <w:r w:rsidRPr="007A4909">
        <w:rPr>
          <w:rFonts w:ascii="宋体" w:hAnsi="宋体" w:cs="Arial" w:hint="eastAsia"/>
          <w:color w:val="2B2B2B"/>
          <w:szCs w:val="21"/>
          <w:shd w:val="clear" w:color="auto" w:fill="F8F8F8"/>
        </w:rPr>
        <w:t>的展示汇报。圣迭戈县卫生与居民服务局是一家地方卫生机构，美国疾病预防控制中心社区减钠项目对其进行资助，帮助其实现食品服务中的减钠目标。</w:t>
      </w:r>
      <w:r w:rsidRPr="007A4909">
        <w:rPr>
          <w:rFonts w:ascii="宋体" w:hAnsi="宋体" w:cs="Arial"/>
          <w:color w:val="2B2B2B"/>
          <w:szCs w:val="21"/>
          <w:shd w:val="clear" w:color="auto" w:fill="F8F8F8"/>
        </w:rPr>
        <w:t>D4H</w:t>
      </w:r>
      <w:r w:rsidRPr="007A4909">
        <w:rPr>
          <w:rFonts w:ascii="宋体" w:hAnsi="宋体" w:cs="Arial" w:hint="eastAsia"/>
          <w:color w:val="2B2B2B"/>
          <w:szCs w:val="21"/>
          <w:shd w:val="clear" w:color="auto" w:fill="F8F8F8"/>
        </w:rPr>
        <w:t>网页仍在开发中，但你可以阅读简要描述，并注册参加论坛。如需注册，请点击</w:t>
      </w:r>
      <w:r w:rsidRPr="007A4909">
        <w:rPr>
          <w:rFonts w:ascii="宋体" w:hAnsi="宋体" w:cs="宋体" w:hint="eastAsia"/>
          <w:color w:val="003399"/>
          <w:szCs w:val="21"/>
          <w:u w:val="single"/>
        </w:rPr>
        <w:t>这里。该</w:t>
      </w:r>
      <w:r w:rsidRPr="007A4909">
        <w:rPr>
          <w:rFonts w:ascii="宋体" w:hAnsi="宋体" w:cs="Arial" w:hint="eastAsia"/>
          <w:color w:val="2B2B2B"/>
          <w:szCs w:val="21"/>
          <w:shd w:val="clear" w:color="auto" w:fill="F8F8F8"/>
        </w:rPr>
        <w:t>网页上还提供之前专题文章的链接。</w:t>
      </w:r>
    </w:p>
    <w:p w:rsidR="00DD0516" w:rsidRPr="007A4909" w:rsidRDefault="00DD0516" w:rsidP="00DD0516">
      <w:pPr>
        <w:shd w:val="clear" w:color="auto" w:fill="F8F8F8"/>
        <w:spacing w:after="96" w:line="315" w:lineRule="atLeast"/>
        <w:rPr>
          <w:rFonts w:ascii="宋体" w:cs="Arial"/>
          <w:color w:val="2B2B2B"/>
          <w:szCs w:val="21"/>
        </w:rPr>
      </w:pPr>
      <w:bookmarkStart w:id="2" w:name="OLE_LINK10"/>
      <w:bookmarkStart w:id="3" w:name="OLE_LINK11"/>
      <w:r w:rsidRPr="007A4909">
        <w:rPr>
          <w:rFonts w:ascii="宋体" w:hAnsi="宋体" w:cs="Arial" w:hint="eastAsia"/>
          <w:color w:val="2B2B2B"/>
          <w:szCs w:val="21"/>
        </w:rPr>
        <w:t>注册步骤：</w:t>
      </w:r>
    </w:p>
    <w:p w:rsidR="00DD0516" w:rsidRPr="007A4909" w:rsidRDefault="00DD0516" w:rsidP="00DD0516">
      <w:pPr>
        <w:shd w:val="clear" w:color="auto" w:fill="F8F8F8"/>
        <w:spacing w:after="96" w:line="315" w:lineRule="atLeast"/>
        <w:rPr>
          <w:rFonts w:ascii="宋体" w:hAnsi="宋体" w:cs="Arial"/>
          <w:color w:val="2B2B2B"/>
          <w:szCs w:val="21"/>
        </w:rPr>
      </w:pPr>
      <w:r w:rsidRPr="007A4909">
        <w:rPr>
          <w:rFonts w:ascii="宋体" w:hAnsi="宋体" w:cs="Arial"/>
          <w:color w:val="2B2B2B"/>
          <w:szCs w:val="21"/>
        </w:rPr>
        <w:t>1</w:t>
      </w:r>
      <w:r w:rsidRPr="007A4909">
        <w:rPr>
          <w:rFonts w:ascii="宋体" w:hAnsi="宋体" w:cs="Arial" w:hint="eastAsia"/>
          <w:color w:val="2B2B2B"/>
          <w:szCs w:val="21"/>
        </w:rPr>
        <w:t>、登录以下网址：</w:t>
      </w:r>
      <w:r w:rsidRPr="007A4909">
        <w:rPr>
          <w:rFonts w:ascii="宋体" w:hAnsi="宋体" w:cs="Arial"/>
          <w:color w:val="2B2B2B"/>
          <w:szCs w:val="21"/>
        </w:rPr>
        <w:t>http://dialogue4health.org/web-forums/detail/connecting-public-health-and-the-food-industry-voluntary-commitments</w:t>
      </w:r>
    </w:p>
    <w:p w:rsidR="00DD0516" w:rsidRPr="007A4909" w:rsidRDefault="00DD0516" w:rsidP="00DD0516">
      <w:pPr>
        <w:shd w:val="clear" w:color="auto" w:fill="F8F8F8"/>
        <w:spacing w:after="96" w:line="315" w:lineRule="atLeast"/>
        <w:rPr>
          <w:rFonts w:ascii="宋体" w:cs="Arial"/>
          <w:color w:val="2B2B2B"/>
          <w:szCs w:val="21"/>
        </w:rPr>
      </w:pPr>
      <w:r w:rsidRPr="007A4909">
        <w:rPr>
          <w:rFonts w:ascii="宋体" w:hAnsi="宋体" w:cs="Arial"/>
          <w:color w:val="2B2B2B"/>
          <w:szCs w:val="21"/>
        </w:rPr>
        <w:t>2</w:t>
      </w:r>
      <w:r w:rsidRPr="007A4909">
        <w:rPr>
          <w:rFonts w:ascii="宋体" w:hAnsi="宋体" w:cs="Arial" w:hint="eastAsia"/>
          <w:color w:val="2B2B2B"/>
          <w:szCs w:val="21"/>
        </w:rPr>
        <w:t>、点击“</w:t>
      </w:r>
      <w:r w:rsidRPr="007A4909">
        <w:rPr>
          <w:rFonts w:ascii="宋体" w:hAnsi="宋体" w:cs="宋体"/>
          <w:color w:val="000000"/>
          <w:szCs w:val="21"/>
        </w:rPr>
        <w:t>RSVP Today!</w:t>
      </w:r>
      <w:r w:rsidRPr="007A4909">
        <w:rPr>
          <w:rFonts w:ascii="宋体" w:hAnsi="宋体" w:cs="Arial" w:hint="eastAsia"/>
          <w:color w:val="2B2B2B"/>
          <w:szCs w:val="21"/>
        </w:rPr>
        <w:t>”选项</w:t>
      </w:r>
    </w:p>
    <w:p w:rsidR="00DD0516" w:rsidRPr="007A4909" w:rsidRDefault="00DD0516" w:rsidP="00DD0516">
      <w:pPr>
        <w:shd w:val="clear" w:color="auto" w:fill="F8F8F8"/>
        <w:spacing w:after="96" w:line="315" w:lineRule="atLeast"/>
        <w:rPr>
          <w:rFonts w:ascii="宋体" w:cs="Arial"/>
          <w:color w:val="2B2B2B"/>
          <w:szCs w:val="21"/>
        </w:rPr>
      </w:pPr>
      <w:r w:rsidRPr="007A4909">
        <w:rPr>
          <w:rFonts w:ascii="宋体" w:hAnsi="宋体" w:cs="Arial"/>
          <w:color w:val="2B2B2B"/>
          <w:szCs w:val="21"/>
        </w:rPr>
        <w:t>3</w:t>
      </w:r>
      <w:r w:rsidRPr="007A4909">
        <w:rPr>
          <w:rFonts w:ascii="宋体" w:hAnsi="宋体" w:cs="Arial" w:hint="eastAsia"/>
          <w:color w:val="2B2B2B"/>
          <w:szCs w:val="21"/>
        </w:rPr>
        <w:t>、在“</w:t>
      </w:r>
      <w:r w:rsidRPr="007A4909">
        <w:rPr>
          <w:rFonts w:ascii="宋体" w:hAnsi="宋体" w:cs="宋体"/>
          <w:color w:val="000000"/>
          <w:szCs w:val="21"/>
        </w:rPr>
        <w:t>Event Status</w:t>
      </w:r>
      <w:r w:rsidRPr="007A4909">
        <w:rPr>
          <w:rFonts w:ascii="宋体" w:hAnsi="宋体" w:cs="Arial" w:hint="eastAsia"/>
          <w:color w:val="2B2B2B"/>
          <w:szCs w:val="21"/>
        </w:rPr>
        <w:t>”下拉选项中，点击</w:t>
      </w:r>
      <w:r w:rsidRPr="007A4909">
        <w:rPr>
          <w:rFonts w:ascii="宋体" w:cs="Arial" w:hint="eastAsia"/>
          <w:color w:val="2B2B2B"/>
          <w:szCs w:val="21"/>
        </w:rPr>
        <w:t>“</w:t>
      </w:r>
      <w:r w:rsidRPr="007A4909">
        <w:rPr>
          <w:rFonts w:ascii="宋体" w:hAnsi="宋体" w:cs="Arial" w:hint="eastAsia"/>
          <w:color w:val="2B2B2B"/>
          <w:szCs w:val="21"/>
        </w:rPr>
        <w:t>注册</w:t>
      </w:r>
      <w:r w:rsidRPr="007A4909">
        <w:rPr>
          <w:rFonts w:ascii="宋体" w:cs="Arial" w:hint="eastAsia"/>
          <w:color w:val="2B2B2B"/>
          <w:szCs w:val="21"/>
        </w:rPr>
        <w:t>”</w:t>
      </w:r>
    </w:p>
    <w:p w:rsidR="00DD0516" w:rsidRPr="007A4909" w:rsidRDefault="00DD0516" w:rsidP="00DD0516">
      <w:pPr>
        <w:shd w:val="clear" w:color="auto" w:fill="F8F8F8"/>
        <w:spacing w:after="96" w:line="315" w:lineRule="atLeast"/>
        <w:rPr>
          <w:rFonts w:ascii="宋体" w:cs="Arial"/>
          <w:color w:val="2B2B2B"/>
          <w:szCs w:val="21"/>
        </w:rPr>
      </w:pPr>
      <w:r w:rsidRPr="007A4909">
        <w:rPr>
          <w:rFonts w:ascii="宋体" w:hAnsi="宋体" w:cs="Arial"/>
          <w:color w:val="2B2B2B"/>
          <w:szCs w:val="21"/>
        </w:rPr>
        <w:t>4</w:t>
      </w:r>
      <w:r w:rsidRPr="007A4909">
        <w:rPr>
          <w:rFonts w:ascii="宋体" w:hAnsi="宋体" w:cs="Arial" w:hint="eastAsia"/>
          <w:color w:val="2B2B2B"/>
          <w:szCs w:val="21"/>
        </w:rPr>
        <w:t>、填写必填字段，点击</w:t>
      </w:r>
      <w:r w:rsidRPr="007A4909">
        <w:rPr>
          <w:rFonts w:ascii="宋体" w:cs="Arial" w:hint="eastAsia"/>
          <w:color w:val="2B2B2B"/>
          <w:szCs w:val="21"/>
        </w:rPr>
        <w:t>“</w:t>
      </w:r>
      <w:r w:rsidRPr="007A4909">
        <w:rPr>
          <w:rFonts w:ascii="宋体" w:hAnsi="宋体" w:cs="Arial" w:hint="eastAsia"/>
          <w:color w:val="2B2B2B"/>
          <w:szCs w:val="21"/>
        </w:rPr>
        <w:t>提交</w:t>
      </w:r>
      <w:r w:rsidRPr="007A4909">
        <w:rPr>
          <w:rFonts w:ascii="宋体" w:cs="Arial" w:hint="eastAsia"/>
          <w:color w:val="2B2B2B"/>
          <w:szCs w:val="21"/>
        </w:rPr>
        <w:t>”</w:t>
      </w:r>
    </w:p>
    <w:p w:rsidR="00DD0516" w:rsidRPr="007A4909" w:rsidRDefault="00DD0516" w:rsidP="00DD0516">
      <w:pPr>
        <w:shd w:val="clear" w:color="auto" w:fill="F8F8F8"/>
        <w:spacing w:after="96" w:line="315" w:lineRule="atLeast"/>
        <w:rPr>
          <w:rFonts w:ascii="宋体" w:cs="Arial"/>
          <w:color w:val="2B2B2B"/>
          <w:szCs w:val="21"/>
        </w:rPr>
      </w:pPr>
      <w:r w:rsidRPr="007A4909">
        <w:rPr>
          <w:rFonts w:ascii="宋体" w:hAnsi="宋体" w:cs="Arial"/>
          <w:color w:val="2B2B2B"/>
          <w:szCs w:val="21"/>
        </w:rPr>
        <w:t>5</w:t>
      </w:r>
      <w:r w:rsidRPr="007A4909">
        <w:rPr>
          <w:rFonts w:ascii="宋体" w:hAnsi="宋体" w:cs="Arial" w:hint="eastAsia"/>
          <w:color w:val="2B2B2B"/>
          <w:szCs w:val="21"/>
        </w:rPr>
        <w:t>、不久之后，你会收到一封来自于</w:t>
      </w:r>
      <w:r w:rsidRPr="007A4909">
        <w:rPr>
          <w:rFonts w:ascii="宋体" w:hAnsi="宋体" w:cs="宋体"/>
          <w:color w:val="000000"/>
          <w:szCs w:val="21"/>
        </w:rPr>
        <w:t>Carmen Nevarez</w:t>
      </w:r>
      <w:r w:rsidRPr="007A4909">
        <w:rPr>
          <w:rFonts w:ascii="宋体" w:hAnsi="宋体" w:cs="宋体" w:hint="eastAsia"/>
          <w:color w:val="000000"/>
          <w:szCs w:val="21"/>
        </w:rPr>
        <w:t>博士的</w:t>
      </w:r>
      <w:r w:rsidRPr="007A4909">
        <w:rPr>
          <w:rFonts w:ascii="宋体" w:hAnsi="宋体" w:cs="Arial" w:hint="eastAsia"/>
          <w:color w:val="2B2B2B"/>
          <w:szCs w:val="21"/>
        </w:rPr>
        <w:t>电子邮件，邮件主题为“</w:t>
      </w:r>
      <w:r w:rsidRPr="007A4909">
        <w:rPr>
          <w:rFonts w:ascii="宋体" w:hAnsi="宋体" w:cs="宋体"/>
          <w:color w:val="000000"/>
          <w:szCs w:val="21"/>
        </w:rPr>
        <w:t>Registration Approved for Web Forum</w:t>
      </w:r>
      <w:r w:rsidRPr="007A4909">
        <w:rPr>
          <w:rFonts w:ascii="宋体" w:hAnsi="宋体" w:cs="Arial" w:hint="eastAsia"/>
          <w:color w:val="2B2B2B"/>
          <w:szCs w:val="21"/>
        </w:rPr>
        <w:t>”（网络研讨会注册通过）。该电子邮件将含有</w:t>
      </w:r>
      <w:r w:rsidRPr="007A4909">
        <w:rPr>
          <w:rFonts w:ascii="宋体" w:hAnsi="宋体" w:cs="Arial"/>
          <w:color w:val="2B2B2B"/>
          <w:szCs w:val="21"/>
        </w:rPr>
        <w:t>5</w:t>
      </w:r>
      <w:r w:rsidRPr="007A4909">
        <w:rPr>
          <w:rFonts w:ascii="宋体" w:hAnsi="宋体" w:cs="Arial" w:hint="eastAsia"/>
          <w:color w:val="2B2B2B"/>
          <w:szCs w:val="21"/>
        </w:rPr>
        <w:t>月</w:t>
      </w:r>
      <w:r w:rsidRPr="007A4909">
        <w:rPr>
          <w:rFonts w:ascii="宋体" w:hAnsi="宋体" w:cs="Arial"/>
          <w:color w:val="2B2B2B"/>
          <w:szCs w:val="21"/>
        </w:rPr>
        <w:t>10</w:t>
      </w:r>
      <w:r w:rsidRPr="007A4909">
        <w:rPr>
          <w:rFonts w:ascii="宋体" w:hAnsi="宋体" w:cs="Arial" w:hint="eastAsia"/>
          <w:color w:val="2B2B2B"/>
          <w:szCs w:val="21"/>
        </w:rPr>
        <w:t>日参加活动的登录信息，以及一份预约日历表，你可以选择“接受”，将其同步到你的</w:t>
      </w:r>
      <w:r w:rsidRPr="007A4909">
        <w:rPr>
          <w:rFonts w:ascii="宋体" w:hAnsi="宋体" w:cs="Arial"/>
          <w:color w:val="2B2B2B"/>
          <w:szCs w:val="21"/>
        </w:rPr>
        <w:t>Outlook</w:t>
      </w:r>
      <w:r w:rsidRPr="007A4909">
        <w:rPr>
          <w:rFonts w:ascii="宋体" w:hAnsi="宋体" w:cs="Arial" w:hint="eastAsia"/>
          <w:color w:val="2B2B2B"/>
          <w:szCs w:val="21"/>
        </w:rPr>
        <w:t>日历中。</w:t>
      </w:r>
    </w:p>
    <w:p w:rsidR="00DD0516" w:rsidRPr="007A4909" w:rsidRDefault="00DD0516" w:rsidP="00DD0516">
      <w:pPr>
        <w:spacing w:before="100" w:beforeAutospacing="1" w:line="350" w:lineRule="atLeast"/>
        <w:rPr>
          <w:rFonts w:ascii="宋体" w:cs="宋体"/>
          <w:b/>
          <w:bCs/>
          <w:color w:val="000000"/>
          <w:szCs w:val="21"/>
          <w:u w:val="single"/>
        </w:rPr>
      </w:pPr>
      <w:bookmarkStart w:id="4" w:name="OLE_LINK12"/>
      <w:bookmarkStart w:id="5" w:name="OLE_LINK13"/>
      <w:bookmarkEnd w:id="2"/>
      <w:bookmarkEnd w:id="3"/>
      <w:r w:rsidRPr="007A4909">
        <w:rPr>
          <w:rFonts w:ascii="宋体" w:hAnsi="宋体" w:cs="宋体"/>
          <w:b/>
          <w:bCs/>
          <w:color w:val="000000"/>
          <w:szCs w:val="21"/>
          <w:u w:val="single"/>
        </w:rPr>
        <w:t>FDA</w:t>
      </w:r>
      <w:r w:rsidRPr="007A4909">
        <w:rPr>
          <w:rFonts w:ascii="宋体" w:hAnsi="宋体" w:cs="宋体" w:hint="eastAsia"/>
          <w:b/>
          <w:bCs/>
          <w:color w:val="000000"/>
          <w:szCs w:val="21"/>
          <w:u w:val="single"/>
        </w:rPr>
        <w:t>发布最终版菜单标签指南</w:t>
      </w:r>
    </w:p>
    <w:p w:rsidR="00DD0516" w:rsidRPr="007A4909" w:rsidRDefault="00DD0516" w:rsidP="00DD0516">
      <w:pPr>
        <w:spacing w:before="100" w:beforeAutospacing="1" w:after="200" w:line="350" w:lineRule="atLeast"/>
        <w:rPr>
          <w:rFonts w:ascii="宋体" w:cs="Arial"/>
          <w:color w:val="2B2B2B"/>
          <w:szCs w:val="21"/>
        </w:rPr>
      </w:pPr>
      <w:r w:rsidRPr="007A4909">
        <w:rPr>
          <w:rFonts w:ascii="宋体" w:hAnsi="宋体" w:cs="Arial"/>
          <w:color w:val="2B2B2B"/>
          <w:szCs w:val="21"/>
        </w:rPr>
        <w:t>2016</w:t>
      </w:r>
      <w:r w:rsidRPr="007A4909">
        <w:rPr>
          <w:rFonts w:ascii="宋体" w:hAnsi="宋体" w:cs="Arial" w:hint="eastAsia"/>
          <w:color w:val="2B2B2B"/>
          <w:szCs w:val="21"/>
        </w:rPr>
        <w:t>年</w:t>
      </w:r>
      <w:r w:rsidRPr="007A4909">
        <w:rPr>
          <w:rFonts w:ascii="宋体" w:hAnsi="宋体" w:cs="Arial"/>
          <w:color w:val="2B2B2B"/>
          <w:szCs w:val="21"/>
        </w:rPr>
        <w:t>4</w:t>
      </w:r>
      <w:r w:rsidRPr="007A4909">
        <w:rPr>
          <w:rFonts w:ascii="宋体" w:hAnsi="宋体" w:cs="Arial" w:hint="eastAsia"/>
          <w:color w:val="2B2B2B"/>
          <w:szCs w:val="21"/>
        </w:rPr>
        <w:t>月</w:t>
      </w:r>
      <w:r w:rsidRPr="007A4909">
        <w:rPr>
          <w:rFonts w:ascii="宋体" w:hAnsi="宋体" w:cs="Arial"/>
          <w:color w:val="2B2B2B"/>
          <w:szCs w:val="21"/>
        </w:rPr>
        <w:t>29</w:t>
      </w:r>
      <w:r w:rsidRPr="007A4909">
        <w:rPr>
          <w:rFonts w:ascii="宋体" w:hAnsi="宋体" w:cs="Arial" w:hint="eastAsia"/>
          <w:color w:val="2B2B2B"/>
          <w:szCs w:val="21"/>
        </w:rPr>
        <w:t>日，美国食品和药物管理局</w:t>
      </w:r>
      <w:r w:rsidRPr="007A4909">
        <w:rPr>
          <w:rFonts w:ascii="宋体" w:hAnsi="宋体" w:cs="Arial"/>
          <w:color w:val="2B2B2B"/>
          <w:szCs w:val="21"/>
        </w:rPr>
        <w:t>(FDA)</w:t>
      </w:r>
      <w:r w:rsidRPr="007A4909">
        <w:rPr>
          <w:rFonts w:ascii="宋体" w:hAnsi="宋体" w:cs="Arial" w:hint="eastAsia"/>
          <w:color w:val="2B2B2B"/>
          <w:szCs w:val="21"/>
        </w:rPr>
        <w:t>为食品行业发布指南，名为</w:t>
      </w:r>
      <w:bookmarkStart w:id="6" w:name="OLE_LINK4"/>
      <w:r w:rsidRPr="007A4909">
        <w:rPr>
          <w:rFonts w:ascii="宋体" w:hAnsi="宋体" w:cs="宋体" w:hint="eastAsia"/>
          <w:color w:val="003399"/>
          <w:szCs w:val="21"/>
          <w:u w:val="single"/>
        </w:rPr>
        <w:t>“餐馆和非家庭制作食品零售场所最终版标签指南</w:t>
      </w:r>
      <w:r w:rsidRPr="007A4909">
        <w:rPr>
          <w:rFonts w:ascii="宋体" w:hAnsi="宋体" w:cs="宋体"/>
          <w:color w:val="003399"/>
          <w:szCs w:val="21"/>
          <w:u w:val="single"/>
        </w:rPr>
        <w:t>——</w:t>
      </w:r>
      <w:r w:rsidRPr="007A4909">
        <w:rPr>
          <w:rFonts w:ascii="宋体" w:hAnsi="宋体" w:cs="宋体" w:hint="eastAsia"/>
          <w:color w:val="003399"/>
          <w:szCs w:val="21"/>
          <w:u w:val="single"/>
        </w:rPr>
        <w:t>第二部分</w:t>
      </w:r>
      <w:r w:rsidRPr="007A4909">
        <w:rPr>
          <w:rFonts w:ascii="宋体" w:hAnsi="宋体" w:cs="宋体"/>
          <w:color w:val="003399"/>
          <w:szCs w:val="21"/>
          <w:u w:val="single"/>
        </w:rPr>
        <w:t>(</w:t>
      </w:r>
      <w:r w:rsidRPr="007A4909">
        <w:rPr>
          <w:rFonts w:ascii="宋体" w:hAnsi="宋体" w:cs="宋体" w:hint="eastAsia"/>
          <w:color w:val="003399"/>
          <w:szCs w:val="21"/>
          <w:u w:val="single"/>
        </w:rPr>
        <w:t>菜单标签要求按照</w:t>
      </w:r>
      <w:r w:rsidRPr="007A4909">
        <w:rPr>
          <w:rFonts w:ascii="宋体" w:hAnsi="宋体" w:cs="宋体"/>
          <w:color w:val="003399"/>
          <w:szCs w:val="21"/>
          <w:u w:val="single"/>
        </w:rPr>
        <w:t>21 CFR 101.11)</w:t>
      </w:r>
      <w:r w:rsidRPr="007A4909">
        <w:rPr>
          <w:rFonts w:ascii="宋体" w:hAnsi="宋体" w:cs="宋体" w:hint="eastAsia"/>
          <w:color w:val="003399"/>
          <w:szCs w:val="21"/>
          <w:u w:val="single"/>
        </w:rPr>
        <w:t>”</w:t>
      </w:r>
      <w:bookmarkEnd w:id="6"/>
      <w:r w:rsidRPr="007A4909">
        <w:rPr>
          <w:rFonts w:ascii="宋体" w:hAnsi="宋体" w:cs="Arial" w:hint="eastAsia"/>
          <w:color w:val="2B2B2B"/>
          <w:szCs w:val="21"/>
        </w:rPr>
        <w:t>。这本指南手</w:t>
      </w:r>
      <w:r w:rsidRPr="007A4909">
        <w:rPr>
          <w:rFonts w:ascii="宋体" w:hAnsi="宋体" w:cs="Arial" w:hint="eastAsia"/>
          <w:color w:val="2B2B2B"/>
          <w:szCs w:val="21"/>
        </w:rPr>
        <w:lastRenderedPageBreak/>
        <w:t>册是</w:t>
      </w:r>
      <w:r w:rsidRPr="007A4909">
        <w:rPr>
          <w:rFonts w:ascii="宋体" w:hAnsi="宋体" w:cs="Arial"/>
          <w:color w:val="2B2B2B"/>
          <w:szCs w:val="21"/>
        </w:rPr>
        <w:t>9</w:t>
      </w:r>
      <w:r w:rsidRPr="007A4909">
        <w:rPr>
          <w:rFonts w:ascii="宋体" w:hAnsi="宋体" w:cs="Arial" w:hint="eastAsia"/>
          <w:color w:val="2B2B2B"/>
          <w:szCs w:val="21"/>
        </w:rPr>
        <w:t>月公布的草拟指南的更新，其中将该机构收到的许多常见问题也考虑了进去。该指南旨在帮助餐饮行业理解新政策，并帮助他们达标。新规拟于</w:t>
      </w:r>
      <w:r w:rsidRPr="007A4909">
        <w:rPr>
          <w:rFonts w:ascii="宋体" w:hAnsi="宋体" w:cs="Arial"/>
          <w:color w:val="2B2B2B"/>
          <w:szCs w:val="21"/>
        </w:rPr>
        <w:t>2017</w:t>
      </w:r>
      <w:r w:rsidRPr="007A4909">
        <w:rPr>
          <w:rFonts w:ascii="宋体" w:hAnsi="宋体" w:cs="Arial" w:hint="eastAsia"/>
          <w:color w:val="2B2B2B"/>
          <w:szCs w:val="21"/>
        </w:rPr>
        <w:t>年强制执行。</w:t>
      </w:r>
    </w:p>
    <w:p w:rsidR="00DD0516" w:rsidRPr="007A4909" w:rsidRDefault="00DD0516" w:rsidP="00DD0516">
      <w:pPr>
        <w:pStyle w:val="tgt"/>
        <w:shd w:val="clear" w:color="auto" w:fill="F8F8F8"/>
        <w:spacing w:after="96" w:line="315" w:lineRule="atLeast"/>
        <w:rPr>
          <w:rFonts w:cs="Arial"/>
          <w:color w:val="2B2B2B"/>
          <w:sz w:val="21"/>
          <w:szCs w:val="21"/>
        </w:rPr>
      </w:pPr>
      <w:r w:rsidRPr="007A4909">
        <w:rPr>
          <w:rFonts w:cs="Arial" w:hint="eastAsia"/>
          <w:color w:val="2B2B2B"/>
          <w:sz w:val="21"/>
          <w:szCs w:val="21"/>
        </w:rPr>
        <w:t>该机构计划开展信息网络研讨会，并举办菜单标签研讨会，着重解决利益相关各方的特定需求，如最终规则所适用的</w:t>
      </w:r>
      <w:bookmarkStart w:id="7" w:name="OLE_LINK6"/>
      <w:r w:rsidRPr="007A4909">
        <w:rPr>
          <w:rFonts w:cs="Arial" w:hint="eastAsia"/>
          <w:color w:val="2B2B2B"/>
          <w:sz w:val="21"/>
          <w:szCs w:val="21"/>
        </w:rPr>
        <w:t>食品零售</w:t>
      </w:r>
      <w:bookmarkEnd w:id="7"/>
      <w:r w:rsidRPr="007A4909">
        <w:rPr>
          <w:rFonts w:cs="Arial" w:hint="eastAsia"/>
          <w:color w:val="2B2B2B"/>
          <w:sz w:val="21"/>
          <w:szCs w:val="21"/>
        </w:rPr>
        <w:t>商家，以及可能在合规监测中发挥作用的各州和地方的监管合作伙伴。食品零售商家</w:t>
      </w:r>
      <w:r w:rsidRPr="007A4909">
        <w:rPr>
          <w:rFonts w:cs="Arial" w:hint="eastAsia"/>
          <w:sz w:val="21"/>
          <w:szCs w:val="21"/>
        </w:rPr>
        <w:t>可以发送有关菜单标签的问题至电子邮箱：</w:t>
      </w:r>
      <w:hyperlink r:id="rId9" w:history="1">
        <w:r w:rsidRPr="007A4909">
          <w:rPr>
            <w:color w:val="003399"/>
            <w:sz w:val="21"/>
            <w:szCs w:val="21"/>
            <w:u w:val="single"/>
          </w:rPr>
          <w:t>CalorieLabeling@fda.hhs.gov</w:t>
        </w:r>
      </w:hyperlink>
      <w:r w:rsidRPr="007A4909">
        <w:rPr>
          <w:color w:val="000000"/>
          <w:sz w:val="21"/>
          <w:szCs w:val="21"/>
        </w:rPr>
        <w:t>.</w:t>
      </w:r>
    </w:p>
    <w:p w:rsidR="00DD0516" w:rsidRPr="007A4909" w:rsidRDefault="00DD0516" w:rsidP="00DD0516">
      <w:pPr>
        <w:spacing w:before="100" w:beforeAutospacing="1" w:after="200" w:line="350" w:lineRule="atLeast"/>
        <w:rPr>
          <w:rFonts w:ascii="宋体" w:cs="宋体"/>
          <w:color w:val="000000"/>
          <w:szCs w:val="21"/>
        </w:rPr>
      </w:pPr>
    </w:p>
    <w:p w:rsidR="00DD0516" w:rsidRPr="007A4909" w:rsidRDefault="00DD0516" w:rsidP="00DD0516">
      <w:pPr>
        <w:pStyle w:val="tgt"/>
        <w:shd w:val="clear" w:color="auto" w:fill="F8F8F8"/>
        <w:spacing w:after="96" w:line="315" w:lineRule="atLeast"/>
        <w:rPr>
          <w:rFonts w:cs="Arial"/>
          <w:color w:val="2B2B2B"/>
          <w:sz w:val="21"/>
          <w:szCs w:val="21"/>
        </w:rPr>
      </w:pPr>
      <w:bookmarkStart w:id="8" w:name="OLE_LINK14"/>
      <w:bookmarkEnd w:id="4"/>
      <w:bookmarkEnd w:id="5"/>
      <w:r w:rsidRPr="007A4909">
        <w:rPr>
          <w:color w:val="000000"/>
          <w:sz w:val="21"/>
          <w:szCs w:val="21"/>
        </w:rPr>
        <w:t> </w:t>
      </w:r>
      <w:r w:rsidRPr="007A4909">
        <w:rPr>
          <w:rFonts w:hint="eastAsia"/>
          <w:sz w:val="21"/>
          <w:szCs w:val="21"/>
        </w:rPr>
        <w:t>更多信息，请点击以下链接：</w:t>
      </w:r>
    </w:p>
    <w:p w:rsidR="00DD0516" w:rsidRPr="007A4909" w:rsidRDefault="00DD0516" w:rsidP="00DD0516">
      <w:pPr>
        <w:numPr>
          <w:ilvl w:val="0"/>
          <w:numId w:val="16"/>
        </w:numPr>
        <w:spacing w:before="100" w:beforeAutospacing="1" w:after="100" w:afterAutospacing="1" w:line="350" w:lineRule="atLeast"/>
        <w:jc w:val="both"/>
        <w:rPr>
          <w:rFonts w:ascii="宋体" w:cs="宋体"/>
          <w:color w:val="003399"/>
          <w:szCs w:val="21"/>
          <w:u w:val="single"/>
        </w:rPr>
      </w:pPr>
      <w:bookmarkStart w:id="9" w:name="OLE_LINK5"/>
      <w:bookmarkEnd w:id="8"/>
      <w:r w:rsidRPr="007A4909">
        <w:rPr>
          <w:rFonts w:ascii="宋体" w:hAnsi="宋体" w:cs="宋体" w:hint="eastAsia"/>
          <w:color w:val="003399"/>
          <w:szCs w:val="21"/>
          <w:u w:val="single"/>
        </w:rPr>
        <w:t>最终版行业指南：</w:t>
      </w:r>
      <w:bookmarkEnd w:id="9"/>
      <w:r w:rsidRPr="007A4909">
        <w:rPr>
          <w:rFonts w:ascii="宋体" w:hAnsi="宋体" w:cs="宋体" w:hint="eastAsia"/>
          <w:color w:val="003399"/>
          <w:szCs w:val="21"/>
          <w:u w:val="single"/>
        </w:rPr>
        <w:t>餐馆和非家庭制作食品零售商家标签指南</w:t>
      </w:r>
      <w:r w:rsidRPr="007A4909">
        <w:rPr>
          <w:rFonts w:ascii="宋体" w:hAnsi="宋体" w:cs="宋体"/>
          <w:color w:val="003399"/>
          <w:szCs w:val="21"/>
          <w:u w:val="single"/>
        </w:rPr>
        <w:t>——</w:t>
      </w:r>
      <w:r w:rsidRPr="007A4909">
        <w:rPr>
          <w:rFonts w:ascii="宋体" w:hAnsi="宋体" w:cs="宋体" w:hint="eastAsia"/>
          <w:color w:val="003399"/>
          <w:szCs w:val="21"/>
          <w:u w:val="single"/>
        </w:rPr>
        <w:t>第二部分</w:t>
      </w:r>
      <w:r w:rsidRPr="007A4909">
        <w:rPr>
          <w:rFonts w:ascii="宋体" w:hAnsi="宋体" w:cs="宋体"/>
          <w:color w:val="003399"/>
          <w:szCs w:val="21"/>
          <w:u w:val="single"/>
        </w:rPr>
        <w:t>(</w:t>
      </w:r>
      <w:r w:rsidRPr="007A4909">
        <w:rPr>
          <w:rFonts w:ascii="宋体" w:hAnsi="宋体" w:cs="宋体" w:hint="eastAsia"/>
          <w:color w:val="003399"/>
          <w:szCs w:val="21"/>
          <w:u w:val="single"/>
        </w:rPr>
        <w:t>菜单标签要求按照</w:t>
      </w:r>
      <w:r w:rsidRPr="007A4909">
        <w:rPr>
          <w:rFonts w:ascii="宋体" w:hAnsi="宋体" w:cs="宋体"/>
          <w:color w:val="003399"/>
          <w:szCs w:val="21"/>
          <w:u w:val="single"/>
        </w:rPr>
        <w:t>21 CFR 101.11)</w:t>
      </w:r>
    </w:p>
    <w:p w:rsidR="00DD0516" w:rsidRPr="007A4909" w:rsidRDefault="00DD0516" w:rsidP="00DD0516">
      <w:pPr>
        <w:numPr>
          <w:ilvl w:val="0"/>
          <w:numId w:val="16"/>
        </w:numPr>
        <w:spacing w:before="100" w:beforeAutospacing="1" w:after="100" w:afterAutospacing="1" w:line="350" w:lineRule="atLeast"/>
        <w:jc w:val="both"/>
        <w:rPr>
          <w:rFonts w:ascii="宋体" w:cs="宋体"/>
          <w:color w:val="003399"/>
          <w:szCs w:val="21"/>
          <w:u w:val="single"/>
        </w:rPr>
      </w:pPr>
      <w:bookmarkStart w:id="10" w:name="OLE_LINK7"/>
      <w:r w:rsidRPr="007A4909">
        <w:rPr>
          <w:rFonts w:ascii="宋体" w:hAnsi="宋体" w:cs="宋体" w:hint="eastAsia"/>
          <w:color w:val="003399"/>
          <w:szCs w:val="21"/>
          <w:u w:val="single"/>
        </w:rPr>
        <w:t>最终版行业指南：</w:t>
      </w:r>
      <w:bookmarkStart w:id="11" w:name="OLE_LINK9"/>
      <w:bookmarkEnd w:id="10"/>
      <w:r w:rsidRPr="007A4909">
        <w:rPr>
          <w:rFonts w:ascii="宋体" w:hAnsi="宋体" w:cs="宋体" w:hint="eastAsia"/>
          <w:color w:val="003399"/>
          <w:szCs w:val="21"/>
          <w:u w:val="single"/>
        </w:rPr>
        <w:t>餐馆和类似零售食品商家标准菜单选项营养标签</w:t>
      </w:r>
      <w:bookmarkEnd w:id="11"/>
      <w:r w:rsidRPr="007A4909">
        <w:rPr>
          <w:rFonts w:ascii="宋体" w:hAnsi="宋体" w:cs="宋体" w:hint="eastAsia"/>
          <w:color w:val="003399"/>
          <w:szCs w:val="21"/>
          <w:u w:val="single"/>
        </w:rPr>
        <w:t>：小实体合规指南</w:t>
      </w:r>
    </w:p>
    <w:p w:rsidR="00DD0516" w:rsidRPr="007A4909" w:rsidRDefault="00DD0516" w:rsidP="00DD0516">
      <w:pPr>
        <w:numPr>
          <w:ilvl w:val="0"/>
          <w:numId w:val="16"/>
        </w:numPr>
        <w:spacing w:before="100" w:beforeAutospacing="1" w:after="100" w:afterAutospacing="1" w:line="350" w:lineRule="atLeast"/>
        <w:jc w:val="both"/>
        <w:rPr>
          <w:rFonts w:ascii="宋体" w:cs="宋体"/>
          <w:color w:val="003399"/>
          <w:szCs w:val="21"/>
          <w:u w:val="single"/>
        </w:rPr>
      </w:pPr>
      <w:r w:rsidRPr="007A4909">
        <w:rPr>
          <w:rFonts w:ascii="宋体" w:hAnsi="宋体" w:cs="宋体" w:hint="eastAsia"/>
          <w:color w:val="003399"/>
          <w:szCs w:val="21"/>
          <w:u w:val="single"/>
        </w:rPr>
        <w:t>最终版规则：食品标签：餐馆和类似零售食品商家标准菜单选项营养标签</w:t>
      </w:r>
    </w:p>
    <w:p w:rsidR="00971964" w:rsidRDefault="00971964" w:rsidP="00971964">
      <w:pPr>
        <w:spacing w:line="252" w:lineRule="auto"/>
        <w:rPr>
          <w:rFonts w:ascii="Arial" w:hAnsi="Arial" w:cs="Arial"/>
          <w:sz w:val="20"/>
          <w:szCs w:val="20"/>
        </w:rPr>
      </w:pPr>
      <w:bookmarkStart w:id="12" w:name="_GoBack"/>
      <w:bookmarkEnd w:id="12"/>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请注意：</w:t>
      </w: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本简讯英文版由美国疾病预防控制中心发布，中文版由骄阳翻译公司翻译，如有歧义，请以英文版本为准。</w:t>
      </w:r>
      <w:r w:rsidRPr="00CF55CF">
        <w:rPr>
          <w:rFonts w:ascii="Arial" w:hAnsi="Arial" w:cs="Arial"/>
          <w:iCs/>
          <w:sz w:val="18"/>
          <w:szCs w:val="20"/>
        </w:rPr>
        <w:t> </w:t>
      </w:r>
    </w:p>
    <w:p w:rsidR="00E1357F" w:rsidRPr="00CF55CF" w:rsidRDefault="00E1357F" w:rsidP="00CF55CF">
      <w:pPr>
        <w:pStyle w:val="NoSpacing"/>
        <w:spacing w:after="240"/>
        <w:rPr>
          <w:rFonts w:ascii="Arial" w:hAnsi="Arial" w:cs="Arial"/>
          <w:iCs/>
          <w:sz w:val="18"/>
          <w:szCs w:val="20"/>
        </w:rPr>
      </w:pPr>
      <w:r w:rsidRPr="00CF55CF">
        <w:rPr>
          <w:rFonts w:ascii="Arial" w:hAnsi="Arial" w:cs="Arial" w:hint="eastAsia"/>
          <w:iCs/>
          <w:sz w:val="18"/>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sidRPr="00CF55CF">
        <w:rPr>
          <w:rFonts w:ascii="Arial" w:hAnsi="Arial" w:cs="Arial"/>
          <w:iCs/>
          <w:sz w:val="18"/>
          <w:szCs w:val="20"/>
        </w:rPr>
        <w:t>(</w:t>
      </w:r>
      <w:hyperlink r:id="rId10" w:history="1">
        <w:r w:rsidRPr="00CF55CF">
          <w:rPr>
            <w:sz w:val="20"/>
          </w:rPr>
          <w:t>caiy@cn.cdc.gov)</w:t>
        </w:r>
      </w:hyperlink>
      <w:r w:rsidRPr="00CF55CF">
        <w:rPr>
          <w:rFonts w:ascii="Arial" w:hAnsi="Arial" w:cs="Arial" w:hint="eastAsia"/>
          <w:iCs/>
          <w:sz w:val="18"/>
          <w:szCs w:val="20"/>
        </w:rPr>
        <w:t>。</w:t>
      </w:r>
    </w:p>
    <w:p w:rsidR="006D4065" w:rsidRPr="00CF55CF" w:rsidRDefault="00E1357F" w:rsidP="006D4065">
      <w:pPr>
        <w:pStyle w:val="NoSpacing"/>
        <w:spacing w:after="240"/>
        <w:rPr>
          <w:rFonts w:ascii="Arial" w:hAnsi="Arial" w:cs="Arial"/>
          <w:iCs/>
          <w:sz w:val="18"/>
          <w:szCs w:val="20"/>
        </w:rPr>
      </w:pPr>
      <w:r w:rsidRPr="00CF55CF">
        <w:rPr>
          <w:rFonts w:ascii="Arial" w:hAnsi="Arial" w:cs="Arial" w:hint="eastAsia"/>
          <w:iCs/>
          <w:sz w:val="18"/>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6D4065" w:rsidRDefault="006D4065" w:rsidP="006D4065">
      <w:pPr>
        <w:pStyle w:val="NoSpacing"/>
        <w:spacing w:after="240"/>
        <w:rPr>
          <w:rFonts w:ascii="Arial" w:hAnsi="Arial" w:cs="Arial"/>
          <w:iCs/>
          <w:sz w:val="20"/>
          <w:szCs w:val="20"/>
        </w:rPr>
      </w:pPr>
    </w:p>
    <w:p w:rsidR="00DD0516" w:rsidRDefault="00DD0516" w:rsidP="00DD0516">
      <w:pPr>
        <w:pStyle w:val="NoSpacing"/>
        <w:spacing w:after="240"/>
        <w:rPr>
          <w:lang w:eastAsia="en-US"/>
        </w:rPr>
      </w:pPr>
      <w:r>
        <w:rPr>
          <w:lang w:eastAsia="en-US"/>
        </w:rPr>
        <w:t>Hello –</w:t>
      </w:r>
    </w:p>
    <w:p w:rsidR="00DD0516" w:rsidRDefault="00DD0516" w:rsidP="00DD0516">
      <w:pPr>
        <w:pStyle w:val="NoSpacing"/>
        <w:spacing w:after="240"/>
        <w:rPr>
          <w:lang w:eastAsia="en-US"/>
        </w:rPr>
      </w:pPr>
      <w:r>
        <w:rPr>
          <w:lang w:eastAsia="en-US"/>
        </w:rPr>
        <w:t xml:space="preserve">This week’s CDC Salt e-Update includes 1) information on a upcoming webinar related to working with the food industry to reduce sodium and 2) a description and link to the FDA’s final guidance for industry on the menu labeling rule. </w:t>
      </w:r>
    </w:p>
    <w:p w:rsidR="00DD0516" w:rsidRDefault="00DD0516" w:rsidP="00DD0516">
      <w:pPr>
        <w:pStyle w:val="PlainText"/>
        <w:rPr>
          <w:b/>
          <w:bCs/>
          <w:u w:val="single"/>
        </w:rPr>
      </w:pPr>
      <w:r>
        <w:rPr>
          <w:b/>
          <w:bCs/>
          <w:u w:val="single"/>
        </w:rPr>
        <w:t xml:space="preserve">Connecting Public Health and the Food Industry: Voluntary Commitments to Reduce Sodium and Understanding the Consumer </w:t>
      </w:r>
    </w:p>
    <w:p w:rsidR="00DD0516" w:rsidRDefault="00DD0516" w:rsidP="00DD0516">
      <w:pPr>
        <w:pStyle w:val="PlainText"/>
      </w:pPr>
      <w:r>
        <w:t xml:space="preserve">Last year, the Centers for Disease Control and Prevention and the National Network of Public Health Institutes launched a web series called "Connecting Public Health and the Food Industry," to share best practices, successes, and subject matter expertise for public health audiences working with the food industry to reduce sodium. Registration through the Dialogue4Health (D4H) platform is open for the next iteration of this series scheduled for </w:t>
      </w:r>
      <w:r>
        <w:rPr>
          <w:b/>
          <w:bCs/>
        </w:rPr>
        <w:t>May 10</w:t>
      </w:r>
      <w:r>
        <w:rPr>
          <w:b/>
          <w:bCs/>
          <w:vertAlign w:val="superscript"/>
        </w:rPr>
        <w:t>th</w:t>
      </w:r>
      <w:r>
        <w:rPr>
          <w:b/>
          <w:bCs/>
        </w:rPr>
        <w:t xml:space="preserve"> from 2:00 – 3:30 pm EST (11:00 am – 12:30 pm PST)</w:t>
      </w:r>
      <w:r>
        <w:t xml:space="preserve">. </w:t>
      </w:r>
    </w:p>
    <w:p w:rsidR="00DD0516" w:rsidRDefault="00DD0516" w:rsidP="00DD0516">
      <w:pPr>
        <w:pStyle w:val="PlainText"/>
      </w:pPr>
    </w:p>
    <w:p w:rsidR="00DD0516" w:rsidRDefault="00DD0516" w:rsidP="00DD0516">
      <w:pPr>
        <w:pStyle w:val="PlainText"/>
      </w:pPr>
      <w:r>
        <w:t xml:space="preserve">The web forum will feature presentations from both General Mills’ Bell Institute of Health and Nutrition and the County of San Diego Health and Human Services Agency, a local health department funded by CDC’s Sodium Reduction in Communities Program to reduce sodium in county food service operations. The D4H webpage is still under development but you can read a brief description and register for the web forum </w:t>
      </w:r>
      <w:hyperlink r:id="rId11" w:history="1">
        <w:r>
          <w:rPr>
            <w:rStyle w:val="Hyperlink"/>
          </w:rPr>
          <w:t>here</w:t>
        </w:r>
      </w:hyperlink>
      <w:r>
        <w:t>. Links to previous iterations are also provided on the webpage.  </w:t>
      </w:r>
    </w:p>
    <w:p w:rsidR="00DD0516" w:rsidRDefault="00DD0516" w:rsidP="00DD0516"/>
    <w:p w:rsidR="00DD0516" w:rsidRDefault="00DD0516" w:rsidP="00DD0516">
      <w:r>
        <w:t>To register:   </w:t>
      </w:r>
    </w:p>
    <w:p w:rsidR="00DD0516" w:rsidRDefault="00DD0516" w:rsidP="00DD0516">
      <w:pPr>
        <w:pStyle w:val="ListParagraph"/>
        <w:numPr>
          <w:ilvl w:val="0"/>
          <w:numId w:val="14"/>
        </w:numPr>
      </w:pPr>
      <w:r>
        <w:t xml:space="preserve">Go to: </w:t>
      </w:r>
      <w:hyperlink r:id="rId12" w:history="1">
        <w:r>
          <w:rPr>
            <w:rStyle w:val="Hyperlink"/>
          </w:rPr>
          <w:t>http://dialogue4health.org/web-forums/detail/connecting-public-health-and-the-food-industry-voluntary-commitments</w:t>
        </w:r>
      </w:hyperlink>
      <w:r>
        <w:t xml:space="preserve"> </w:t>
      </w:r>
    </w:p>
    <w:p w:rsidR="00DD0516" w:rsidRDefault="00DD0516" w:rsidP="00DD0516">
      <w:pPr>
        <w:pStyle w:val="ListParagraph"/>
        <w:numPr>
          <w:ilvl w:val="0"/>
          <w:numId w:val="14"/>
        </w:numPr>
      </w:pPr>
      <w:r>
        <w:t>Click on “RSVP Today!” tab</w:t>
      </w:r>
    </w:p>
    <w:p w:rsidR="00DD0516" w:rsidRDefault="00DD0516" w:rsidP="00DD0516">
      <w:pPr>
        <w:pStyle w:val="ListParagraph"/>
        <w:numPr>
          <w:ilvl w:val="0"/>
          <w:numId w:val="14"/>
        </w:numPr>
      </w:pPr>
      <w:r>
        <w:t xml:space="preserve">Under Event Status, click “Register” </w:t>
      </w:r>
    </w:p>
    <w:p w:rsidR="00DD0516" w:rsidRDefault="00DD0516" w:rsidP="00DD0516">
      <w:pPr>
        <w:pStyle w:val="ListParagraph"/>
        <w:numPr>
          <w:ilvl w:val="0"/>
          <w:numId w:val="14"/>
        </w:numPr>
      </w:pPr>
      <w:r>
        <w:t>Fill in required fields and hit “submit”</w:t>
      </w:r>
    </w:p>
    <w:p w:rsidR="00DD0516" w:rsidRDefault="00DD0516" w:rsidP="00DD0516">
      <w:pPr>
        <w:pStyle w:val="ListParagraph"/>
        <w:numPr>
          <w:ilvl w:val="0"/>
          <w:numId w:val="14"/>
        </w:numPr>
      </w:pPr>
      <w:r>
        <w:t>Shortly after, you will receive an email from Dr. Carmen Nevarez with the subject line “Registration Approved for Web Forum.” The email will contain the log-in information to join the event on May 10</w:t>
      </w:r>
      <w:r>
        <w:rPr>
          <w:vertAlign w:val="superscript"/>
        </w:rPr>
        <w:t>th</w:t>
      </w:r>
      <w:r>
        <w:t xml:space="preserve"> including a calendar appointment which you can “accept” to sync it to your Outlook calendar.  </w:t>
      </w:r>
    </w:p>
    <w:p w:rsidR="00DD0516" w:rsidRDefault="00DD0516" w:rsidP="00DD0516">
      <w:pPr>
        <w:pStyle w:val="NormalWeb"/>
        <w:rPr>
          <w:sz w:val="22"/>
          <w:u w:val="single"/>
          <w:lang w:val="en"/>
        </w:rPr>
      </w:pPr>
      <w:r>
        <w:rPr>
          <w:rStyle w:val="Strong"/>
          <w:sz w:val="22"/>
          <w:u w:val="single"/>
          <w:lang w:val="en"/>
        </w:rPr>
        <w:t>FDA Issues Final Guidance on Menu Labeling</w:t>
      </w:r>
    </w:p>
    <w:p w:rsidR="00DD0516" w:rsidRDefault="00DD0516" w:rsidP="00DD0516">
      <w:pPr>
        <w:pStyle w:val="NormalWeb"/>
        <w:spacing w:after="200"/>
        <w:rPr>
          <w:sz w:val="22"/>
          <w:lang w:eastAsia="en-US"/>
        </w:rPr>
      </w:pPr>
      <w:r>
        <w:rPr>
          <w:sz w:val="22"/>
          <w:lang w:eastAsia="en-US"/>
        </w:rPr>
        <w:t>On April 29, 2016 the U.S. Food and Drug Administration (FDA) published guidance for industry, “</w:t>
      </w:r>
      <w:hyperlink r:id="rId13" w:history="1">
        <w:r>
          <w:rPr>
            <w:rStyle w:val="Hyperlink"/>
            <w:sz w:val="22"/>
            <w:lang w:val="en"/>
          </w:rPr>
          <w:t>A Labeling Guide for Restaurants and Retail Establishments Selling Away-From-Home Foods – Part II (Menu Labeling Requirements in Accordance with 21 CFR 101.11)</w:t>
        </w:r>
      </w:hyperlink>
      <w:r>
        <w:rPr>
          <w:color w:val="1F497D"/>
          <w:sz w:val="22"/>
          <w:lang w:val="en"/>
        </w:rPr>
        <w:t xml:space="preserve">. </w:t>
      </w:r>
      <w:r>
        <w:rPr>
          <w:sz w:val="22"/>
          <w:lang w:eastAsia="en-US"/>
        </w:rPr>
        <w:t xml:space="preserve">The publication is an update to draft guidance that was announced in September, taking into account the many frequently asked questions that the agency has received. The aim is to assist industry in interpreting the new policy and aid with compliance of the regulations that are planned to be enforced in 2017. </w:t>
      </w:r>
    </w:p>
    <w:p w:rsidR="00DD0516" w:rsidRDefault="00DD0516" w:rsidP="00DD0516">
      <w:pPr>
        <w:pStyle w:val="NormalWeb"/>
        <w:spacing w:after="200"/>
        <w:rPr>
          <w:sz w:val="22"/>
          <w:lang w:val="en"/>
        </w:rPr>
      </w:pPr>
      <w:r>
        <w:rPr>
          <w:sz w:val="22"/>
          <w:lang w:eastAsia="en-US"/>
        </w:rPr>
        <w:t xml:space="preserve">The agency plans to conduct informational webinars and will hold menu labeling workshops that focus on specific needs of stakeholders, such as establishments covered by the final rule and state, local, and tribal regulatory partners that may play a role in compliance monitoring. Additionally, covered establishments can send questions on menu labeling requirements to </w:t>
      </w:r>
      <w:hyperlink r:id="rId14" w:history="1">
        <w:r>
          <w:rPr>
            <w:rStyle w:val="Hyperlink"/>
            <w:sz w:val="22"/>
            <w:lang w:val="en"/>
          </w:rPr>
          <w:t>CalorieLabeling@fda.hhs.gov</w:t>
        </w:r>
      </w:hyperlink>
      <w:r>
        <w:rPr>
          <w:sz w:val="22"/>
          <w:lang w:val="en"/>
        </w:rPr>
        <w:t>.</w:t>
      </w:r>
    </w:p>
    <w:p w:rsidR="00DD0516" w:rsidRDefault="00DD0516" w:rsidP="00DD0516">
      <w:pPr>
        <w:pStyle w:val="NormalWeb"/>
        <w:rPr>
          <w:sz w:val="22"/>
        </w:rPr>
      </w:pPr>
      <w:r>
        <w:rPr>
          <w:sz w:val="22"/>
        </w:rPr>
        <w:t xml:space="preserve">For More Information: </w:t>
      </w:r>
    </w:p>
    <w:p w:rsidR="00DD0516" w:rsidRDefault="00DD0516" w:rsidP="00DD0516">
      <w:pPr>
        <w:numPr>
          <w:ilvl w:val="0"/>
          <w:numId w:val="15"/>
        </w:numPr>
        <w:spacing w:after="100" w:afterAutospacing="1"/>
        <w:rPr>
          <w:rFonts w:eastAsia="Times New Roman"/>
          <w:lang w:val="en"/>
        </w:rPr>
      </w:pPr>
      <w:hyperlink r:id="rId15" w:history="1">
        <w:r>
          <w:rPr>
            <w:rStyle w:val="Hyperlink"/>
            <w:rFonts w:eastAsia="Times New Roman"/>
            <w:lang w:val="en"/>
          </w:rPr>
          <w:t>Final Guidance for Industry: A Labeling Guide for Restaurants and Retail Establishments Selling Away-From-Home Foods – Part II (Menu Labeling Requirements in Accordance with 21 CFR 101.11)</w:t>
        </w:r>
      </w:hyperlink>
    </w:p>
    <w:p w:rsidR="00DD0516" w:rsidRDefault="00DD0516" w:rsidP="00DD0516">
      <w:pPr>
        <w:numPr>
          <w:ilvl w:val="0"/>
          <w:numId w:val="15"/>
        </w:numPr>
        <w:spacing w:before="100" w:beforeAutospacing="1" w:after="100" w:afterAutospacing="1"/>
        <w:rPr>
          <w:rFonts w:eastAsia="Times New Roman"/>
          <w:lang w:val="en"/>
        </w:rPr>
      </w:pPr>
      <w:hyperlink r:id="rId16" w:history="1">
        <w:r>
          <w:rPr>
            <w:rStyle w:val="Hyperlink"/>
            <w:rFonts w:eastAsia="Times New Roman"/>
            <w:lang w:val="en"/>
          </w:rPr>
          <w:t>Guidance for Industry: Nutrition Labeling of Standard Menu Items in Restaurants and Similar Retail Food Establishments: Small Entity Compliance Guide</w:t>
        </w:r>
      </w:hyperlink>
    </w:p>
    <w:p w:rsidR="00DD0516" w:rsidRDefault="00DD0516" w:rsidP="00DD0516">
      <w:pPr>
        <w:numPr>
          <w:ilvl w:val="0"/>
          <w:numId w:val="15"/>
        </w:numPr>
        <w:spacing w:before="100" w:beforeAutospacing="1" w:after="100" w:afterAutospacing="1"/>
        <w:rPr>
          <w:rFonts w:eastAsia="Times New Roman"/>
          <w:color w:val="1F497D"/>
          <w:lang w:val="en"/>
        </w:rPr>
      </w:pPr>
      <w:hyperlink r:id="rId17" w:anchor="!docketDetail;D=FDA-2011-F-0172" w:tgtFrame="_blank" w:history="1">
        <w:r>
          <w:rPr>
            <w:rStyle w:val="Hyperlink"/>
            <w:rFonts w:eastAsia="Times New Roman"/>
            <w:lang w:val="en"/>
          </w:rPr>
          <w:t>Final Rule: Food Labeling; Nutrition Labeling of Standard Menu Items in Restaurants and Similar Retail Food Establishments</w:t>
        </w:r>
      </w:hyperlink>
    </w:p>
    <w:p w:rsidR="00DD0516" w:rsidRDefault="00DD0516" w:rsidP="00DD0516">
      <w:pPr>
        <w:rPr>
          <w:rFonts w:eastAsiaTheme="minorEastAsia"/>
        </w:rPr>
      </w:pPr>
    </w:p>
    <w:p w:rsidR="00DD0516" w:rsidRDefault="00DD0516" w:rsidP="00DD0516">
      <w:pPr>
        <w:pStyle w:val="NormalWeb"/>
        <w:spacing w:after="200"/>
        <w:rPr>
          <w:sz w:val="22"/>
          <w:lang w:eastAsia="en-US"/>
        </w:rPr>
      </w:pPr>
      <w:r>
        <w:rPr>
          <w:sz w:val="22"/>
          <w:lang w:eastAsia="en-US"/>
        </w:rPr>
        <w:t>Thank you for your continued engagement in sodium reduction.</w:t>
      </w:r>
    </w:p>
    <w:p w:rsidR="00DD0516" w:rsidRDefault="00DD0516" w:rsidP="00DD0516">
      <w:pPr>
        <w:spacing w:line="252" w:lineRule="auto"/>
      </w:pPr>
    </w:p>
    <w:p w:rsidR="00DD0516" w:rsidRDefault="00DD0516" w:rsidP="00DD0516">
      <w:r>
        <w:rPr>
          <w:i/>
          <w:iCs/>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Hadley Hickner (</w:t>
      </w:r>
      <w:hyperlink r:id="rId18" w:history="1">
        <w:r>
          <w:rPr>
            <w:rStyle w:val="Hyperlink"/>
            <w:i/>
            <w:iCs/>
          </w:rPr>
          <w:t>xxm5@cdc.gov</w:t>
        </w:r>
      </w:hyperlink>
      <w:r>
        <w:rPr>
          <w:i/>
          <w:iCs/>
        </w:rPr>
        <w:t xml:space="preserve">) </w:t>
      </w:r>
    </w:p>
    <w:p w:rsidR="00DD0516" w:rsidRDefault="00DD0516" w:rsidP="00DD0516">
      <w:pPr>
        <w:pStyle w:val="NormalWeb"/>
        <w:rPr>
          <w:color w:val="1F497D"/>
          <w:sz w:val="22"/>
        </w:rPr>
      </w:pPr>
      <w:r>
        <w:rPr>
          <w:i/>
          <w:iCs/>
          <w:sz w:val="22"/>
        </w:rPr>
        <w:lastRenderedPageBreak/>
        <w:t>Salt e-Update</w:t>
      </w:r>
      <w:r>
        <w:rPr>
          <w:sz w:val="22"/>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i/>
          <w:iCs/>
          <w:sz w:val="22"/>
        </w:rPr>
        <w:t xml:space="preserve"> Salt e-Update</w:t>
      </w:r>
      <w:r>
        <w:rPr>
          <w:sz w:val="22"/>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p>
    <w:sectPr w:rsidR="00E1357F"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4E42B7D"/>
    <w:multiLevelType w:val="hybridMultilevel"/>
    <w:tmpl w:val="1D12999C"/>
    <w:lvl w:ilvl="0" w:tplc="40649F42">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DB85938"/>
    <w:multiLevelType w:val="hybridMultilevel"/>
    <w:tmpl w:val="0AD26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E7A4692"/>
    <w:multiLevelType w:val="multilevel"/>
    <w:tmpl w:val="23A03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61923"/>
    <w:multiLevelType w:val="multilevel"/>
    <w:tmpl w:val="29D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C17FD7"/>
    <w:multiLevelType w:val="hybridMultilevel"/>
    <w:tmpl w:val="0E68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6"/>
  </w:num>
  <w:num w:numId="4">
    <w:abstractNumId w:val="13"/>
  </w:num>
  <w:num w:numId="5">
    <w:abstractNumId w:val="2"/>
  </w:num>
  <w:num w:numId="6">
    <w:abstractNumId w:val="4"/>
  </w:num>
  <w:num w:numId="7">
    <w:abstractNumId w:val="9"/>
  </w:num>
  <w:num w:numId="8">
    <w:abstractNumId w:val="11"/>
  </w:num>
  <w:num w:numId="9">
    <w:abstractNumId w:val="12"/>
  </w:num>
  <w:num w:numId="10">
    <w:abstractNumId w:val="1"/>
  </w:num>
  <w:num w:numId="11">
    <w:abstractNumId w:val="1"/>
  </w:num>
  <w:num w:numId="12">
    <w:abstractNumId w:val="10"/>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lvlOverride w:ilvl="3"/>
    <w:lvlOverride w:ilvl="4"/>
    <w:lvlOverride w:ilvl="5"/>
    <w:lvlOverride w:ilvl="6"/>
    <w:lvlOverride w:ilvl="7"/>
    <w:lvlOverride w:ilv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4608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71BCF"/>
    <w:rsid w:val="005A6950"/>
    <w:rsid w:val="005B13F4"/>
    <w:rsid w:val="00601EC0"/>
    <w:rsid w:val="0068511C"/>
    <w:rsid w:val="006856EC"/>
    <w:rsid w:val="00687253"/>
    <w:rsid w:val="006A2E43"/>
    <w:rsid w:val="006B5023"/>
    <w:rsid w:val="006C4FE0"/>
    <w:rsid w:val="006D4065"/>
    <w:rsid w:val="007045B0"/>
    <w:rsid w:val="007C7A08"/>
    <w:rsid w:val="007C7EB4"/>
    <w:rsid w:val="007E1095"/>
    <w:rsid w:val="007F10B9"/>
    <w:rsid w:val="00800095"/>
    <w:rsid w:val="00833AEA"/>
    <w:rsid w:val="008A5C5A"/>
    <w:rsid w:val="00920E2B"/>
    <w:rsid w:val="00941BD6"/>
    <w:rsid w:val="00971964"/>
    <w:rsid w:val="009D0677"/>
    <w:rsid w:val="00A55D9F"/>
    <w:rsid w:val="00A979B8"/>
    <w:rsid w:val="00B24E61"/>
    <w:rsid w:val="00B82497"/>
    <w:rsid w:val="00CB08F2"/>
    <w:rsid w:val="00CD4E09"/>
    <w:rsid w:val="00CF55CF"/>
    <w:rsid w:val="00D33F9D"/>
    <w:rsid w:val="00D5771C"/>
    <w:rsid w:val="00D96B0C"/>
    <w:rsid w:val="00DD0516"/>
    <w:rsid w:val="00E0237B"/>
    <w:rsid w:val="00E1357F"/>
    <w:rsid w:val="00E240CA"/>
    <w:rsid w:val="00EA0CF4"/>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 w:type="character" w:customStyle="1" w:styleId="apple-converted-space">
    <w:name w:val="apple-converted-space"/>
    <w:basedOn w:val="DefaultParagraphFont"/>
    <w:rsid w:val="007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037124905">
      <w:bodyDiv w:val="1"/>
      <w:marLeft w:val="0"/>
      <w:marRight w:val="0"/>
      <w:marTop w:val="0"/>
      <w:marBottom w:val="0"/>
      <w:divBdr>
        <w:top w:val="none" w:sz="0" w:space="0" w:color="auto"/>
        <w:left w:val="none" w:sz="0" w:space="0" w:color="auto"/>
        <w:bottom w:val="none" w:sz="0" w:space="0" w:color="auto"/>
        <w:right w:val="none" w:sz="0" w:space="0" w:color="auto"/>
      </w:divBdr>
    </w:div>
    <w:div w:id="1122649880">
      <w:bodyDiv w:val="1"/>
      <w:marLeft w:val="0"/>
      <w:marRight w:val="0"/>
      <w:marTop w:val="0"/>
      <w:marBottom w:val="0"/>
      <w:divBdr>
        <w:top w:val="none" w:sz="0" w:space="0" w:color="auto"/>
        <w:left w:val="none" w:sz="0" w:space="0" w:color="auto"/>
        <w:bottom w:val="none" w:sz="0" w:space="0" w:color="auto"/>
        <w:right w:val="none" w:sz="0" w:space="0" w:color="auto"/>
      </w:divBdr>
    </w:div>
    <w:div w:id="1214272267">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272276443">
      <w:bodyDiv w:val="1"/>
      <w:marLeft w:val="0"/>
      <w:marRight w:val="0"/>
      <w:marTop w:val="0"/>
      <w:marBottom w:val="0"/>
      <w:divBdr>
        <w:top w:val="none" w:sz="0" w:space="0" w:color="auto"/>
        <w:left w:val="none" w:sz="0" w:space="0" w:color="auto"/>
        <w:bottom w:val="none" w:sz="0" w:space="0" w:color="auto"/>
        <w:right w:val="none" w:sz="0" w:space="0" w:color="auto"/>
      </w:divBdr>
    </w:div>
    <w:div w:id="1415736783">
      <w:bodyDiv w:val="1"/>
      <w:marLeft w:val="0"/>
      <w:marRight w:val="0"/>
      <w:marTop w:val="0"/>
      <w:marBottom w:val="0"/>
      <w:divBdr>
        <w:top w:val="none" w:sz="0" w:space="0" w:color="auto"/>
        <w:left w:val="none" w:sz="0" w:space="0" w:color="auto"/>
        <w:bottom w:val="none" w:sz="0" w:space="0" w:color="auto"/>
        <w:right w:val="none" w:sz="0" w:space="0" w:color="auto"/>
      </w:divBdr>
    </w:div>
    <w:div w:id="1573202594">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nks.govdelivery.com:80/track?type=click&amp;enid=ZWFzPTEmbXNpZD0mYXVpZD0mbWFpbGluZ2lkPTIwMTYwNDI5LjU4NDUzODQxJm1lc3NhZ2VpZD1NREItUFJELUJVTC0yMDE2MDQyOS41ODQ1Mzg0MSZkYXRhYmFzZWlkPTEwMDEmc2VyaWFsPTE3Njg1ODM3JmVtYWlsaWQ9c2FrMkBjZGMuZ292JnVzZXJpZD1zYWsyQGNkYy5nb3YmdGFyZ2V0aWQ9JmZsPSZleHRyYT1NdWx0aXZhcmlhdGVJZD0mJiY=&amp;&amp;&amp;101&amp;&amp;&amp;http://www.fda.gov/Food/GuidanceRegulation/GuidanceDocumentsRegulatoryInformation/ucm461934.htm?source=govdelivery&amp;utm_medium=email&amp;utm_source=govdelivery" TargetMode="External"/><Relationship Id="rId18" Type="http://schemas.openxmlformats.org/officeDocument/2006/relationships/hyperlink" Target="mailto:xxm5@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logue4health.org/web-forums/detail/connecting-public-health-and-the-food-industry-voluntary-commitments" TargetMode="External"/><Relationship Id="rId17" Type="http://schemas.openxmlformats.org/officeDocument/2006/relationships/hyperlink" Target="https://www.regulations.gov/" TargetMode="External"/><Relationship Id="rId2" Type="http://schemas.openxmlformats.org/officeDocument/2006/relationships/numbering" Target="numbering.xml"/><Relationship Id="rId16" Type="http://schemas.openxmlformats.org/officeDocument/2006/relationships/hyperlink" Target="http://links.govdelivery.com:80/track?type=click&amp;enid=ZWFzPTEmbXNpZD0mYXVpZD0mbWFpbGluZ2lkPTIwMTYwNDI5LjU4NDUzODQxJm1lc3NhZ2VpZD1NREItUFJELUJVTC0yMDE2MDQyOS41ODQ1Mzg0MSZkYXRhYmFzZWlkPTEwMDEmc2VyaWFsPTE3Njg1ODM3JmVtYWlsaWQ9c2FrMkBjZGMuZ292JnVzZXJpZD1zYWsyQGNkYy5nb3YmdGFyZ2V0aWQ9JmZsPSZleHRyYT1NdWx0aXZhcmlhdGVJZD0mJiY=&amp;&amp;&amp;103&amp;&amp;&amp;http://www.fda.gov/Food/GuidanceRegulation/GuidanceDocumentsRegulatoryInformation/ucm437403.htm?source=govdelivery&amp;utm_medium=email&amp;utm_source=govdelive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ogue4health.org/web-forums/detail/connecting-public-health-and-the-food-industry-voluntary-commitments" TargetMode="External"/><Relationship Id="rId5" Type="http://schemas.openxmlformats.org/officeDocument/2006/relationships/webSettings" Target="webSettings.xml"/><Relationship Id="rId15" Type="http://schemas.openxmlformats.org/officeDocument/2006/relationships/hyperlink" Target="http://links.govdelivery.com:80/track?type=click&amp;enid=ZWFzPTEmbXNpZD0mYXVpZD0mbWFpbGluZ2lkPTIwMTYwNDI5LjU4NDUzODQxJm1lc3NhZ2VpZD1NREItUFJELUJVTC0yMDE2MDQyOS41ODQ1Mzg0MSZkYXRhYmFzZWlkPTEwMDEmc2VyaWFsPTE3Njg1ODM3JmVtYWlsaWQ9c2FrMkBjZGMuZ292JnVzZXJpZD1zYWsyQGNkYy5nb3YmdGFyZ2V0aWQ9JmZsPSZleHRyYT1NdWx0aXZhcmlhdGVJZD0mJiY=&amp;&amp;&amp;102&amp;&amp;&amp;http://www.fda.gov/Food/GuidanceRegulation/GuidanceDocumentsRegulatoryInformation/ucm461934.htm?source=govdelivery&amp;utm_medium=email&amp;utm_source=govdelivery" TargetMode="External"/><Relationship Id="rId10" Type="http://schemas.openxmlformats.org/officeDocument/2006/relationships/hyperlink" Target="mailto:caiy@cn.cd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lorieLabeling@fda.hhs.gov" TargetMode="External"/><Relationship Id="rId14" Type="http://schemas.openxmlformats.org/officeDocument/2006/relationships/hyperlink" Target="mailto:CalorieLabeling@fda.hh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2016-05-31T07:47:00Z</dcterms:created>
  <dcterms:modified xsi:type="dcterms:W3CDTF">2016-05-31T07:48:00Z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