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bookmarkStart w:id="0" w:name="_GoBack"/>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sidR="00CF55CF">
        <w:rPr>
          <w:rFonts w:ascii="Times New Roman" w:hAnsi="宋体"/>
          <w:sz w:val="24"/>
          <w:szCs w:val="24"/>
        </w:rPr>
        <w:t>5</w:t>
      </w:r>
      <w:r w:rsidR="00E1357F" w:rsidRPr="00E1357F">
        <w:rPr>
          <w:rFonts w:ascii="Times New Roman" w:hAnsi="宋体" w:hint="eastAsia"/>
          <w:sz w:val="24"/>
          <w:szCs w:val="24"/>
        </w:rPr>
        <w:t>月</w:t>
      </w:r>
      <w:r w:rsidR="00CF55CF">
        <w:rPr>
          <w:rFonts w:ascii="Times New Roman" w:hAnsi="宋体"/>
          <w:sz w:val="24"/>
          <w:szCs w:val="24"/>
        </w:rPr>
        <w:t>20</w:t>
      </w:r>
      <w:r w:rsidR="00E1357F" w:rsidRPr="00E1357F">
        <w:rPr>
          <w:rFonts w:ascii="Times New Roman" w:hAnsi="宋体" w:hint="eastAsia"/>
          <w:sz w:val="24"/>
          <w:szCs w:val="24"/>
        </w:rPr>
        <w:t>日</w:t>
      </w:r>
    </w:p>
    <w:p w:rsidR="006D4065" w:rsidRPr="006D4065" w:rsidRDefault="00CF55CF" w:rsidP="00CF55CF">
      <w:pPr>
        <w:spacing w:after="240"/>
        <w:rPr>
          <w:rFonts w:ascii="Times New Roman" w:hAnsi="Times New Roman"/>
          <w:snapToGrid w:val="0"/>
          <w:szCs w:val="24"/>
        </w:rPr>
      </w:pPr>
      <w:r>
        <w:rPr>
          <w:rFonts w:cs="宋体" w:hint="eastAsia"/>
          <w:color w:val="000000"/>
        </w:rPr>
        <w:t>本周的美国疾病控制与预防中心《合理用盐电子报》包含近期食品行业表示支持美国食品与药物管理局为食品制造商制定并发布自愿性钠含量指导标准的有关信息。</w:t>
      </w:r>
    </w:p>
    <w:p w:rsidR="00CF55CF" w:rsidRPr="00DE7347" w:rsidRDefault="00CF55CF" w:rsidP="00CF55CF">
      <w:pPr>
        <w:rPr>
          <w:rFonts w:cs="宋体"/>
          <w:b/>
          <w:bCs/>
          <w:color w:val="000000"/>
          <w:u w:val="single"/>
        </w:rPr>
      </w:pPr>
      <w:bookmarkStart w:id="1" w:name="OLE_LINK1"/>
      <w:bookmarkStart w:id="2" w:name="OLE_LINK2"/>
      <w:r w:rsidRPr="00DE7347">
        <w:rPr>
          <w:rFonts w:cs="宋体" w:hint="eastAsia"/>
          <w:b/>
          <w:bCs/>
          <w:color w:val="000000"/>
          <w:u w:val="single"/>
        </w:rPr>
        <w:t>食品行业支持</w:t>
      </w:r>
      <w:bookmarkStart w:id="3" w:name="OLE_LINK3"/>
      <w:r w:rsidRPr="00DE7347">
        <w:rPr>
          <w:rFonts w:cs="宋体" w:hint="eastAsia"/>
          <w:b/>
          <w:bCs/>
          <w:color w:val="000000"/>
          <w:u w:val="single"/>
        </w:rPr>
        <w:t>自愿性减钠的指导标准</w:t>
      </w:r>
      <w:bookmarkEnd w:id="3"/>
    </w:p>
    <w:bookmarkEnd w:id="1"/>
    <w:bookmarkEnd w:id="2"/>
    <w:p w:rsidR="00CF55CF" w:rsidRDefault="00CF55CF" w:rsidP="00CF55CF">
      <w:pPr>
        <w:pStyle w:val="tgt"/>
        <w:shd w:val="clear" w:color="auto" w:fill="F8F8F8"/>
        <w:spacing w:after="96" w:line="315" w:lineRule="atLeast"/>
        <w:rPr>
          <w:rFonts w:ascii="Arial" w:hAnsi="Arial" w:cs="Arial"/>
          <w:color w:val="2B2B2B"/>
          <w:sz w:val="21"/>
          <w:szCs w:val="21"/>
        </w:rPr>
      </w:pPr>
      <w:r>
        <w:rPr>
          <w:rFonts w:ascii="Arial" w:hAnsi="Arial" w:cs="Arial" w:hint="eastAsia"/>
          <w:color w:val="2B2B2B"/>
          <w:sz w:val="21"/>
          <w:szCs w:val="21"/>
        </w:rPr>
        <w:t>两大食品制造商已经宣布，他们支持美国食品及药物管理局颁布</w:t>
      </w:r>
      <w:r w:rsidRPr="00F15371">
        <w:rPr>
          <w:rFonts w:ascii="Arial" w:hAnsi="Arial" w:cs="Arial" w:hint="eastAsia"/>
          <w:color w:val="2B2B2B"/>
          <w:sz w:val="21"/>
          <w:szCs w:val="21"/>
        </w:rPr>
        <w:t>自愿性减钠目标。</w:t>
      </w:r>
      <w:r>
        <w:rPr>
          <w:rFonts w:ascii="Arial" w:hAnsi="Arial" w:cs="Arial" w:hint="eastAsia"/>
          <w:color w:val="2B2B2B"/>
          <w:sz w:val="21"/>
          <w:szCs w:val="21"/>
        </w:rPr>
        <w:t>本月，世界上最大的食品公司</w:t>
      </w:r>
      <w:r>
        <w:rPr>
          <w:rFonts w:ascii="Arial" w:hAnsi="Arial" w:cs="Arial"/>
          <w:color w:val="2B2B2B"/>
          <w:sz w:val="21"/>
          <w:szCs w:val="21"/>
        </w:rPr>
        <w:t>--</w:t>
      </w:r>
      <w:r>
        <w:rPr>
          <w:rFonts w:ascii="Arial" w:hAnsi="Arial" w:cs="Arial" w:hint="eastAsia"/>
          <w:color w:val="2B2B2B"/>
          <w:sz w:val="21"/>
          <w:szCs w:val="21"/>
        </w:rPr>
        <w:t>雀巢公司宣布了其进一步减钠的行动，这些行动旨在帮助人们每日将每日钠摄入量控制世界卫生组织</w:t>
      </w:r>
      <w:r>
        <w:rPr>
          <w:rFonts w:ascii="Arial" w:hAnsi="Arial" w:cs="Arial"/>
          <w:color w:val="2B2B2B"/>
          <w:sz w:val="21"/>
          <w:szCs w:val="21"/>
        </w:rPr>
        <w:t>(WHO)</w:t>
      </w:r>
      <w:r>
        <w:rPr>
          <w:rFonts w:ascii="Arial" w:hAnsi="Arial" w:cs="Arial" w:hint="eastAsia"/>
          <w:color w:val="2B2B2B"/>
          <w:sz w:val="21"/>
          <w:szCs w:val="21"/>
        </w:rPr>
        <w:t>推荐的每天不超过</w:t>
      </w:r>
      <w:r>
        <w:rPr>
          <w:rFonts w:ascii="Arial" w:hAnsi="Arial" w:cs="Arial"/>
          <w:color w:val="2B2B2B"/>
          <w:sz w:val="21"/>
          <w:szCs w:val="21"/>
        </w:rPr>
        <w:t>2000</w:t>
      </w:r>
      <w:r>
        <w:rPr>
          <w:rFonts w:ascii="Arial" w:hAnsi="Arial" w:cs="Arial" w:hint="eastAsia"/>
          <w:color w:val="2B2B2B"/>
          <w:sz w:val="21"/>
          <w:szCs w:val="21"/>
        </w:rPr>
        <w:t>毫克这一限额之内。为实现这一目标，雀巢公司将按照雀</w:t>
      </w:r>
      <w:bookmarkStart w:id="4" w:name="OLE_LINK7"/>
      <w:r>
        <w:rPr>
          <w:rFonts w:ascii="Arial" w:hAnsi="Arial" w:cs="Arial" w:hint="eastAsia"/>
          <w:color w:val="2B2B2B"/>
          <w:sz w:val="21"/>
          <w:szCs w:val="21"/>
        </w:rPr>
        <w:t>巢营养分析系统</w:t>
      </w:r>
      <w:bookmarkEnd w:id="4"/>
      <w:r>
        <w:rPr>
          <w:rFonts w:ascii="Arial" w:hAnsi="Arial" w:cs="Arial" w:hint="eastAsia"/>
          <w:color w:val="2B2B2B"/>
          <w:sz w:val="21"/>
          <w:szCs w:val="21"/>
        </w:rPr>
        <w:t>和</w:t>
      </w:r>
      <w:bookmarkStart w:id="5" w:name="OLE_LINK8"/>
      <w:r>
        <w:rPr>
          <w:rFonts w:ascii="Arial" w:hAnsi="Arial" w:cs="Arial" w:hint="eastAsia"/>
          <w:color w:val="2B2B2B"/>
          <w:sz w:val="21"/>
          <w:szCs w:val="21"/>
        </w:rPr>
        <w:t>雀巢营养基础标准</w:t>
      </w:r>
      <w:bookmarkEnd w:id="5"/>
      <w:r>
        <w:rPr>
          <w:rFonts w:ascii="Arial" w:hAnsi="Arial" w:cs="Arial" w:hint="eastAsia"/>
          <w:color w:val="2B2B2B"/>
          <w:sz w:val="21"/>
          <w:szCs w:val="21"/>
        </w:rPr>
        <w:t>，增加其食品和饮料产品的数量。</w:t>
      </w:r>
    </w:p>
    <w:p w:rsidR="00CF55CF" w:rsidRDefault="00CF55CF" w:rsidP="00CF55CF">
      <w:pPr>
        <w:rPr>
          <w:rFonts w:cs="宋体"/>
          <w:color w:val="000000"/>
        </w:rPr>
      </w:pPr>
      <w:r>
        <w:rPr>
          <w:rFonts w:cs="宋体" w:hint="eastAsia"/>
          <w:color w:val="000000"/>
        </w:rPr>
        <w:t>在玛氏集团成为第一家宣布支持为美国加工食品制定自愿性钠含量标准的食品生产商之后，</w:t>
      </w:r>
      <w:r>
        <w:rPr>
          <w:rFonts w:ascii="Arial" w:hAnsi="Arial" w:cs="Arial" w:hint="eastAsia"/>
          <w:color w:val="2B2B2B"/>
          <w:szCs w:val="21"/>
          <w:shd w:val="clear" w:color="auto" w:fill="F8F8F8"/>
        </w:rPr>
        <w:t>雀巢加入也紧随其后表示支持这一动议。玛氏集团宣布将于</w:t>
      </w:r>
      <w:r>
        <w:rPr>
          <w:rFonts w:ascii="Arial" w:hAnsi="Arial" w:cs="Arial"/>
          <w:color w:val="2B2B2B"/>
          <w:szCs w:val="21"/>
          <w:shd w:val="clear" w:color="auto" w:fill="F8F8F8"/>
        </w:rPr>
        <w:t>2021</w:t>
      </w:r>
      <w:r>
        <w:rPr>
          <w:rFonts w:ascii="Arial" w:hAnsi="Arial" w:cs="Arial" w:hint="eastAsia"/>
          <w:color w:val="2B2B2B"/>
          <w:szCs w:val="21"/>
          <w:shd w:val="clear" w:color="auto" w:fill="F8F8F8"/>
        </w:rPr>
        <w:t>年之前让其产品的钠含量平均减少</w:t>
      </w:r>
      <w:r>
        <w:rPr>
          <w:rFonts w:ascii="Arial" w:hAnsi="Arial" w:cs="Arial"/>
          <w:color w:val="2B2B2B"/>
          <w:szCs w:val="21"/>
          <w:shd w:val="clear" w:color="auto" w:fill="F8F8F8"/>
        </w:rPr>
        <w:t>20%</w:t>
      </w:r>
      <w:r>
        <w:rPr>
          <w:rFonts w:ascii="Arial" w:hAnsi="Arial" w:cs="Arial" w:hint="eastAsia"/>
          <w:color w:val="2B2B2B"/>
          <w:szCs w:val="21"/>
          <w:shd w:val="clear" w:color="auto" w:fill="F8F8F8"/>
        </w:rPr>
        <w:t>。</w:t>
      </w:r>
    </w:p>
    <w:p w:rsidR="00CF55CF" w:rsidRPr="00DE41E9" w:rsidRDefault="00CF55CF" w:rsidP="00CF55CF">
      <w:pPr>
        <w:rPr>
          <w:rFonts w:cs="宋体"/>
          <w:color w:val="000000"/>
        </w:rPr>
      </w:pPr>
    </w:p>
    <w:p w:rsidR="00CF55CF" w:rsidRDefault="00CF55CF" w:rsidP="00CF55CF">
      <w:pPr>
        <w:rPr>
          <w:rFonts w:cs="宋体"/>
          <w:color w:val="1F497D"/>
        </w:rPr>
      </w:pPr>
      <w:r w:rsidRPr="00DE41E9">
        <w:rPr>
          <w:rFonts w:cs="宋体"/>
          <w:color w:val="1F497D"/>
        </w:rPr>
        <w:t> </w:t>
      </w:r>
      <w:r>
        <w:rPr>
          <w:rFonts w:cs="宋体" w:hint="eastAsia"/>
          <w:color w:val="1F497D"/>
        </w:rPr>
        <w:t>更多内容，请点击以下链接：</w:t>
      </w:r>
    </w:p>
    <w:p w:rsidR="00CF55CF" w:rsidRPr="00CF55CF" w:rsidRDefault="00CF55CF" w:rsidP="00CF55CF">
      <w:pPr>
        <w:rPr>
          <w:rFonts w:cs="宋体"/>
          <w:color w:val="0070C0"/>
          <w:u w:val="single"/>
        </w:rPr>
      </w:pPr>
      <w:r w:rsidRPr="00CF55CF">
        <w:rPr>
          <w:rFonts w:cs="宋体" w:hint="eastAsia"/>
          <w:color w:val="0070C0"/>
          <w:u w:val="single"/>
        </w:rPr>
        <w:t>雀巢全球减钠政策</w:t>
      </w:r>
    </w:p>
    <w:p w:rsidR="00CF55CF" w:rsidRPr="00CF55CF" w:rsidRDefault="00CF55CF" w:rsidP="00CF55CF">
      <w:pPr>
        <w:rPr>
          <w:rFonts w:cs="宋体"/>
          <w:color w:val="0070C0"/>
          <w:u w:val="single"/>
        </w:rPr>
      </w:pPr>
      <w:r w:rsidRPr="00CF55CF">
        <w:rPr>
          <w:rFonts w:cs="宋体" w:hint="eastAsia"/>
          <w:color w:val="0070C0"/>
          <w:u w:val="single"/>
        </w:rPr>
        <w:t>巢营养分析系统</w:t>
      </w:r>
    </w:p>
    <w:p w:rsidR="00CF55CF" w:rsidRPr="00CF55CF" w:rsidRDefault="00CF55CF" w:rsidP="00CF55CF">
      <w:pPr>
        <w:rPr>
          <w:rFonts w:cs="宋体"/>
          <w:color w:val="0070C0"/>
          <w:u w:val="single"/>
        </w:rPr>
      </w:pPr>
      <w:r w:rsidRPr="00CF55CF">
        <w:rPr>
          <w:rFonts w:cs="宋体" w:hint="eastAsia"/>
          <w:color w:val="0070C0"/>
          <w:u w:val="single"/>
        </w:rPr>
        <w:t>玛氏食品及营养标准</w:t>
      </w:r>
    </w:p>
    <w:p w:rsidR="00971964" w:rsidRDefault="00971964" w:rsidP="00971964">
      <w:pPr>
        <w:pStyle w:val="Default"/>
        <w:rPr>
          <w:rFonts w:ascii="Arial" w:hAnsi="Arial" w:cs="Arial"/>
          <w:color w:val="auto"/>
          <w:sz w:val="20"/>
          <w:szCs w:val="20"/>
          <w:lang w:eastAsia="zh-CN"/>
        </w:rPr>
      </w:pPr>
    </w:p>
    <w:p w:rsidR="00971964" w:rsidRDefault="00971964" w:rsidP="00971964">
      <w:pPr>
        <w:spacing w:line="252" w:lineRule="auto"/>
        <w:rPr>
          <w:rFonts w:ascii="Arial" w:hAnsi="Arial" w:cs="Arial"/>
          <w:sz w:val="20"/>
          <w:szCs w:val="20"/>
        </w:rPr>
      </w:pPr>
    </w:p>
    <w:p w:rsidR="00971964" w:rsidRDefault="00FB4255" w:rsidP="00F14750">
      <w:pPr>
        <w:adjustRightInd w:val="0"/>
        <w:snapToGrid w:val="0"/>
        <w:spacing w:afterLines="50" w:after="120"/>
        <w:rPr>
          <w:rFonts w:ascii="Arial" w:eastAsiaTheme="minorEastAsia" w:hAnsi="Arial" w:cs="Arial"/>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sz w:val="20"/>
          <w:szCs w:val="20"/>
        </w:rPr>
      </w:pP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请注意：</w:t>
      </w: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本简讯英文版由美国疾病预防控制中心发布，中文版由骄阳翻译公司翻译，如有歧义，请以英文版本为准。</w:t>
      </w:r>
      <w:r w:rsidRPr="00CF55CF">
        <w:rPr>
          <w:rFonts w:ascii="Arial" w:hAnsi="Arial" w:cs="Arial"/>
          <w:iCs/>
          <w:sz w:val="18"/>
          <w:szCs w:val="20"/>
        </w:rPr>
        <w:t> </w:t>
      </w: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sidRPr="00CF55CF">
        <w:rPr>
          <w:rFonts w:ascii="Arial" w:hAnsi="Arial" w:cs="Arial"/>
          <w:iCs/>
          <w:sz w:val="18"/>
          <w:szCs w:val="20"/>
        </w:rPr>
        <w:t>(</w:t>
      </w:r>
      <w:hyperlink r:id="rId9" w:history="1">
        <w:r w:rsidRPr="00CF55CF">
          <w:rPr>
            <w:sz w:val="20"/>
          </w:rPr>
          <w:t>caiy@cn.cdc.gov)</w:t>
        </w:r>
      </w:hyperlink>
      <w:r w:rsidRPr="00CF55CF">
        <w:rPr>
          <w:rFonts w:ascii="Arial" w:hAnsi="Arial" w:cs="Arial" w:hint="eastAsia"/>
          <w:iCs/>
          <w:sz w:val="18"/>
          <w:szCs w:val="20"/>
        </w:rPr>
        <w:t>。</w:t>
      </w:r>
    </w:p>
    <w:p w:rsidR="006D4065" w:rsidRPr="00CF55CF" w:rsidRDefault="00E1357F" w:rsidP="006D4065">
      <w:pPr>
        <w:pStyle w:val="NoSpacing"/>
        <w:spacing w:after="240"/>
        <w:rPr>
          <w:rFonts w:ascii="Arial" w:hAnsi="Arial" w:cs="Arial"/>
          <w:iCs/>
          <w:sz w:val="18"/>
          <w:szCs w:val="20"/>
        </w:rPr>
      </w:pPr>
      <w:r w:rsidRPr="00CF55CF">
        <w:rPr>
          <w:rFonts w:ascii="Arial" w:hAnsi="Arial" w:cs="Arial" w:hint="eastAsia"/>
          <w:iCs/>
          <w:sz w:val="18"/>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6D4065" w:rsidRDefault="006D4065" w:rsidP="006D4065">
      <w:pPr>
        <w:pStyle w:val="NoSpacing"/>
        <w:spacing w:after="240"/>
        <w:rPr>
          <w:rFonts w:ascii="Arial" w:hAnsi="Arial" w:cs="Arial"/>
          <w:iCs/>
          <w:sz w:val="20"/>
          <w:szCs w:val="20"/>
        </w:rPr>
      </w:pPr>
    </w:p>
    <w:p w:rsidR="00CF55CF" w:rsidRDefault="00CF55CF" w:rsidP="00CF55CF">
      <w:pPr>
        <w:pStyle w:val="NoSpacing"/>
        <w:spacing w:after="240"/>
        <w:rPr>
          <w:lang w:eastAsia="en-US"/>
        </w:rPr>
      </w:pPr>
      <w:r>
        <w:rPr>
          <w:lang w:eastAsia="en-US"/>
        </w:rPr>
        <w:t>Hello –</w:t>
      </w:r>
    </w:p>
    <w:p w:rsidR="00CF55CF" w:rsidRDefault="00CF55CF" w:rsidP="00CF55CF">
      <w:pPr>
        <w:pStyle w:val="NoSpacing"/>
        <w:spacing w:after="240"/>
        <w:rPr>
          <w:lang w:eastAsia="en-US"/>
        </w:rPr>
      </w:pPr>
      <w:r>
        <w:rPr>
          <w:lang w:eastAsia="en-US"/>
        </w:rPr>
        <w:t xml:space="preserve">This week’s CDC Salt e-Update includes recent industry support for FDA’s effort to release voluntary sodium targets for food manufacturers. </w:t>
      </w:r>
    </w:p>
    <w:p w:rsidR="00CF55CF" w:rsidRDefault="00CF55CF" w:rsidP="00CF55CF">
      <w:pPr>
        <w:rPr>
          <w:b/>
          <w:bCs/>
          <w:u w:val="single"/>
        </w:rPr>
      </w:pPr>
      <w:r>
        <w:rPr>
          <w:b/>
          <w:bCs/>
          <w:u w:val="single"/>
        </w:rPr>
        <w:lastRenderedPageBreak/>
        <w:t xml:space="preserve">Industry Supports Voluntary Sodium Reduction Guidelines </w:t>
      </w:r>
    </w:p>
    <w:p w:rsidR="00CF55CF" w:rsidRDefault="00CF55CF" w:rsidP="00CF55CF">
      <w:r>
        <w:t xml:space="preserve">Two leading manufacturers have announced support for FDA to release voluntary sodium reduction targets.  This month, the world’s largest food company, Nestlé, </w:t>
      </w:r>
      <w:hyperlink r:id="rId10" w:history="1">
        <w:r>
          <w:rPr>
            <w:rStyle w:val="Hyperlink"/>
          </w:rPr>
          <w:t>announced further sodium reduction efforts</w:t>
        </w:r>
      </w:hyperlink>
      <w:r>
        <w:t xml:space="preserve"> to help people meet daily intake limit recommended by the World Health Organization (WHO) – no more than 2,000 milligrams of sodium per day –by increasing the number of foods and beverages in accordance with the Nestlé Nutrition Profiling System and the Nestlé Nutritional Foundation criteria.   </w:t>
      </w:r>
    </w:p>
    <w:p w:rsidR="00CF55CF" w:rsidRDefault="00CF55CF" w:rsidP="00CF55CF">
      <w:r>
        <w:t xml:space="preserve">Nestle joins Mars Inc., the first food producer to announce support for voluntary guidelines for how much salt should be in processed food in the United States. Mars Inc. announces to reduce the amount of sodium in its products by an average of 20% by 2021. </w:t>
      </w:r>
      <w:r>
        <w:rPr>
          <w:color w:val="1F497D"/>
        </w:rPr>
        <w:t> </w:t>
      </w:r>
    </w:p>
    <w:p w:rsidR="00CF55CF" w:rsidRDefault="00CF55CF" w:rsidP="00CF55CF"/>
    <w:p w:rsidR="00CF55CF" w:rsidRDefault="00CF55CF" w:rsidP="00CF55CF">
      <w:r>
        <w:t xml:space="preserve">Read more: </w:t>
      </w:r>
    </w:p>
    <w:p w:rsidR="00CF55CF" w:rsidRDefault="00CF55CF" w:rsidP="00CF55CF">
      <w:hyperlink r:id="rId11" w:history="1">
        <w:r>
          <w:rPr>
            <w:rStyle w:val="Hyperlink"/>
          </w:rPr>
          <w:t>Nestlé's Global Sodium Policy</w:t>
        </w:r>
      </w:hyperlink>
      <w:r>
        <w:t xml:space="preserve"> </w:t>
      </w:r>
    </w:p>
    <w:p w:rsidR="00CF55CF" w:rsidRDefault="00CF55CF" w:rsidP="00CF55CF">
      <w:hyperlink r:id="rId12" w:history="1">
        <w:r>
          <w:rPr>
            <w:rStyle w:val="Hyperlink"/>
          </w:rPr>
          <w:t>Nestlé Nutritional Profiling System</w:t>
        </w:r>
      </w:hyperlink>
    </w:p>
    <w:p w:rsidR="00CF55CF" w:rsidRDefault="00CF55CF" w:rsidP="00CF55CF">
      <w:hyperlink r:id="rId13" w:history="1">
        <w:r>
          <w:rPr>
            <w:rStyle w:val="Hyperlink"/>
          </w:rPr>
          <w:t>Mars Food and Nutrition Criteria</w:t>
        </w:r>
      </w:hyperlink>
      <w:r>
        <w:t xml:space="preserve"> </w:t>
      </w:r>
    </w:p>
    <w:p w:rsidR="00CF55CF" w:rsidRDefault="00CF55CF" w:rsidP="00CF55CF">
      <w:pPr>
        <w:rPr>
          <w:color w:val="1F497D"/>
        </w:rPr>
      </w:pPr>
    </w:p>
    <w:p w:rsidR="00CF55CF" w:rsidRDefault="00CF55CF" w:rsidP="00CF55CF">
      <w:pPr>
        <w:rPr>
          <w:color w:val="1F497D"/>
        </w:rPr>
      </w:pPr>
    </w:p>
    <w:p w:rsidR="00CF55CF" w:rsidRDefault="00CF55CF" w:rsidP="00CF55CF">
      <w:pPr>
        <w:pStyle w:val="NormalWeb"/>
        <w:spacing w:after="200"/>
        <w:rPr>
          <w:sz w:val="22"/>
          <w:lang w:eastAsia="en-US"/>
        </w:rPr>
      </w:pPr>
      <w:r>
        <w:rPr>
          <w:sz w:val="22"/>
          <w:lang w:eastAsia="en-US"/>
        </w:rPr>
        <w:t>Thank you for your continued engagement in sodium reduction.</w:t>
      </w:r>
    </w:p>
    <w:p w:rsidR="00CF55CF" w:rsidRDefault="00CF55CF" w:rsidP="00CF55CF">
      <w:pPr>
        <w:pStyle w:val="NormalWeb"/>
        <w:spacing w:after="200"/>
        <w:rPr>
          <w:sz w:val="22"/>
          <w:lang w:eastAsia="en-US"/>
        </w:rPr>
      </w:pPr>
    </w:p>
    <w:p w:rsidR="00CF55CF" w:rsidRDefault="00CF55CF" w:rsidP="00CF55CF">
      <w:r>
        <w:rPr>
          <w:i/>
          <w:iCs/>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Hadley Hickner (</w:t>
      </w:r>
      <w:hyperlink r:id="rId14" w:history="1">
        <w:r>
          <w:rPr>
            <w:rStyle w:val="Hyperlink"/>
            <w:i/>
            <w:iCs/>
          </w:rPr>
          <w:t>xxm5@cdc.gov</w:t>
        </w:r>
      </w:hyperlink>
      <w:r>
        <w:rPr>
          <w:i/>
          <w:iCs/>
        </w:rPr>
        <w:t xml:space="preserve">) </w:t>
      </w:r>
    </w:p>
    <w:p w:rsidR="00CF55CF" w:rsidRDefault="00CF55CF" w:rsidP="00CF55CF">
      <w:pPr>
        <w:pStyle w:val="NormalWeb"/>
        <w:rPr>
          <w:color w:val="1F497D"/>
          <w:sz w:val="22"/>
        </w:rPr>
      </w:pPr>
      <w:r>
        <w:rPr>
          <w:i/>
          <w:iCs/>
          <w:sz w:val="22"/>
        </w:rPr>
        <w:t>Salt e-Update</w:t>
      </w:r>
      <w:r>
        <w:rPr>
          <w:sz w:val="22"/>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i/>
          <w:iCs/>
          <w:sz w:val="22"/>
        </w:rPr>
        <w:t xml:space="preserve"> Salt e-Update</w:t>
      </w:r>
      <w:r>
        <w:rPr>
          <w:sz w:val="22"/>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p>
    <w:bookmarkEnd w:id="0"/>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p>
    <w:sectPr w:rsidR="00E1357F"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0E6B616C"/>
    <w:multiLevelType w:val="hybridMultilevel"/>
    <w:tmpl w:val="53A42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4E42B7D"/>
    <w:multiLevelType w:val="hybridMultilevel"/>
    <w:tmpl w:val="1D12999C"/>
    <w:lvl w:ilvl="0" w:tplc="40649F42">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C17FD7"/>
    <w:multiLevelType w:val="hybridMultilevel"/>
    <w:tmpl w:val="0E68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5"/>
  </w:num>
  <w:num w:numId="4">
    <w:abstractNumId w:val="10"/>
  </w:num>
  <w:num w:numId="5">
    <w:abstractNumId w:val="2"/>
  </w:num>
  <w:num w:numId="6">
    <w:abstractNumId w:val="4"/>
  </w:num>
  <w:num w:numId="7">
    <w:abstractNumId w:val="6"/>
  </w:num>
  <w:num w:numId="8">
    <w:abstractNumId w:val="8"/>
  </w:num>
  <w:num w:numId="9">
    <w:abstractNumId w:val="9"/>
  </w:num>
  <w:num w:numId="10">
    <w:abstractNumId w:val="1"/>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4403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70A3F"/>
    <w:rsid w:val="00282300"/>
    <w:rsid w:val="002C4C62"/>
    <w:rsid w:val="00332838"/>
    <w:rsid w:val="003425B4"/>
    <w:rsid w:val="00357773"/>
    <w:rsid w:val="00363A77"/>
    <w:rsid w:val="00370AB0"/>
    <w:rsid w:val="003812BF"/>
    <w:rsid w:val="00393AC7"/>
    <w:rsid w:val="003B2BD1"/>
    <w:rsid w:val="003D6F97"/>
    <w:rsid w:val="004A5BB9"/>
    <w:rsid w:val="004B38F6"/>
    <w:rsid w:val="00571BCF"/>
    <w:rsid w:val="005B13F4"/>
    <w:rsid w:val="00601EC0"/>
    <w:rsid w:val="0068511C"/>
    <w:rsid w:val="006856EC"/>
    <w:rsid w:val="00687253"/>
    <w:rsid w:val="006A2E43"/>
    <w:rsid w:val="006B5023"/>
    <w:rsid w:val="006C4FE0"/>
    <w:rsid w:val="006D4065"/>
    <w:rsid w:val="007045B0"/>
    <w:rsid w:val="007C7A08"/>
    <w:rsid w:val="007C7EB4"/>
    <w:rsid w:val="007E1095"/>
    <w:rsid w:val="007F10B9"/>
    <w:rsid w:val="00800095"/>
    <w:rsid w:val="00833AEA"/>
    <w:rsid w:val="008A5C5A"/>
    <w:rsid w:val="00920E2B"/>
    <w:rsid w:val="00941BD6"/>
    <w:rsid w:val="00971964"/>
    <w:rsid w:val="009D0677"/>
    <w:rsid w:val="00A55D9F"/>
    <w:rsid w:val="00A979B8"/>
    <w:rsid w:val="00B24E61"/>
    <w:rsid w:val="00B82497"/>
    <w:rsid w:val="00CB08F2"/>
    <w:rsid w:val="00CD4E09"/>
    <w:rsid w:val="00CF55CF"/>
    <w:rsid w:val="00D33F9D"/>
    <w:rsid w:val="00D5771C"/>
    <w:rsid w:val="00D96B0C"/>
    <w:rsid w:val="00E0237B"/>
    <w:rsid w:val="00E1357F"/>
    <w:rsid w:val="00E240CA"/>
    <w:rsid w:val="00EA0CF4"/>
    <w:rsid w:val="00F14750"/>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 w:type="character" w:customStyle="1" w:styleId="apple-converted-space">
    <w:name w:val="apple-converted-space"/>
    <w:basedOn w:val="DefaultParagraphFont"/>
    <w:rsid w:val="007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56977668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037124905">
      <w:bodyDiv w:val="1"/>
      <w:marLeft w:val="0"/>
      <w:marRight w:val="0"/>
      <w:marTop w:val="0"/>
      <w:marBottom w:val="0"/>
      <w:divBdr>
        <w:top w:val="none" w:sz="0" w:space="0" w:color="auto"/>
        <w:left w:val="none" w:sz="0" w:space="0" w:color="auto"/>
        <w:bottom w:val="none" w:sz="0" w:space="0" w:color="auto"/>
        <w:right w:val="none" w:sz="0" w:space="0" w:color="auto"/>
      </w:divBdr>
    </w:div>
    <w:div w:id="1122649880">
      <w:bodyDiv w:val="1"/>
      <w:marLeft w:val="0"/>
      <w:marRight w:val="0"/>
      <w:marTop w:val="0"/>
      <w:marBottom w:val="0"/>
      <w:divBdr>
        <w:top w:val="none" w:sz="0" w:space="0" w:color="auto"/>
        <w:left w:val="none" w:sz="0" w:space="0" w:color="auto"/>
        <w:bottom w:val="none" w:sz="0" w:space="0" w:color="auto"/>
        <w:right w:val="none" w:sz="0" w:space="0" w:color="auto"/>
      </w:divBdr>
    </w:div>
    <w:div w:id="1214272267">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1272276443">
      <w:bodyDiv w:val="1"/>
      <w:marLeft w:val="0"/>
      <w:marRight w:val="0"/>
      <w:marTop w:val="0"/>
      <w:marBottom w:val="0"/>
      <w:divBdr>
        <w:top w:val="none" w:sz="0" w:space="0" w:color="auto"/>
        <w:left w:val="none" w:sz="0" w:space="0" w:color="auto"/>
        <w:bottom w:val="none" w:sz="0" w:space="0" w:color="auto"/>
        <w:right w:val="none" w:sz="0" w:space="0" w:color="auto"/>
      </w:divBdr>
    </w:div>
    <w:div w:id="1573202594">
      <w:bodyDiv w:val="1"/>
      <w:marLeft w:val="0"/>
      <w:marRight w:val="0"/>
      <w:marTop w:val="0"/>
      <w:marBottom w:val="0"/>
      <w:divBdr>
        <w:top w:val="none" w:sz="0" w:space="0" w:color="auto"/>
        <w:left w:val="none" w:sz="0" w:space="0" w:color="auto"/>
        <w:bottom w:val="none" w:sz="0" w:space="0" w:color="auto"/>
        <w:right w:val="none" w:sz="0" w:space="0" w:color="auto"/>
      </w:divBdr>
    </w:div>
    <w:div w:id="1693919657">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s.com/global/assets/documents/Mars%20Food%20Nutrition%20Criter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stle.com/asset-library/documents/library/documents/nutrition_health_wellness/nestle-nutritional-profiling-syste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tle.com/asset-library/documents/library/documents/about_us/nestle-policy-sal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stleusa.com/media/pressreleases/nestle-supports-lower-sodium-targetshttp:/www.nestleusa.com/media/pressreleases/nestle-supports-lower-sodium-targets" TargetMode="External"/><Relationship Id="rId4" Type="http://schemas.openxmlformats.org/officeDocument/2006/relationships/settings" Target="settings.xml"/><Relationship Id="rId9" Type="http://schemas.openxmlformats.org/officeDocument/2006/relationships/hyperlink" Target="mailto:caiy@cn.cdc.gov)" TargetMode="External"/><Relationship Id="rId14" Type="http://schemas.openxmlformats.org/officeDocument/2006/relationships/hyperlink" Target="mailto:xxm5@cdc.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2016-05-31T07:42:00Z</dcterms:created>
  <dcterms:modified xsi:type="dcterms:W3CDTF">2016-05-31T07:45:00Z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