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152D2A" w:rsidP="00B24E61">
      <w:pPr>
        <w:pStyle w:val="1"/>
        <w:spacing w:afterLines="50" w:after="120" w:line="360" w:lineRule="auto"/>
        <w:jc w:val="both"/>
        <w:rPr>
          <w:rFonts w:ascii="Times New Roman" w:hAnsi="宋体"/>
          <w:sz w:val="24"/>
          <w:szCs w:val="24"/>
        </w:rPr>
      </w:pPr>
      <w:r>
        <w:rPr>
          <w:rFonts w:ascii="Times New Roman" w:hAnsi="宋体"/>
          <w:sz w:val="24"/>
          <w:szCs w:val="24"/>
        </w:rPr>
        <w:t>11</w:t>
      </w:r>
      <w:r w:rsidR="00E1357F" w:rsidRPr="00E1357F">
        <w:rPr>
          <w:rFonts w:ascii="Times New Roman" w:hAnsi="宋体" w:hint="eastAsia"/>
          <w:sz w:val="24"/>
          <w:szCs w:val="24"/>
        </w:rPr>
        <w:t>月</w:t>
      </w:r>
      <w:r w:rsidR="006C4FE0">
        <w:rPr>
          <w:rFonts w:ascii="Times New Roman" w:hAnsi="宋体"/>
          <w:sz w:val="24"/>
          <w:szCs w:val="24"/>
        </w:rPr>
        <w:t>20</w:t>
      </w:r>
      <w:r w:rsidR="00E1357F" w:rsidRPr="00E1357F">
        <w:rPr>
          <w:rFonts w:ascii="Times New Roman" w:hAnsi="宋体" w:hint="eastAsia"/>
          <w:sz w:val="24"/>
          <w:szCs w:val="24"/>
        </w:rPr>
        <w:t>日</w:t>
      </w:r>
    </w:p>
    <w:p w:rsidR="006C4FE0" w:rsidRDefault="006C4FE0" w:rsidP="006C4FE0">
      <w:pPr>
        <w:pStyle w:val="NoSpacing"/>
        <w:adjustRightInd w:val="0"/>
        <w:snapToGrid w:val="0"/>
        <w:spacing w:afterLines="50" w:after="120"/>
        <w:ind w:firstLineChars="213" w:firstLine="426"/>
        <w:jc w:val="both"/>
        <w:rPr>
          <w:rFonts w:ascii="Times New Roman"/>
          <w:sz w:val="20"/>
          <w:szCs w:val="20"/>
        </w:rPr>
      </w:pPr>
      <w:r w:rsidRPr="00087152">
        <w:rPr>
          <w:rFonts w:ascii="Times New Roman"/>
          <w:sz w:val="20"/>
          <w:szCs w:val="20"/>
        </w:rPr>
        <w:t>本周的美国疾控中心</w:t>
      </w:r>
      <w:r w:rsidRPr="00087152">
        <w:rPr>
          <w:rFonts w:ascii="Times New Roman" w:hAnsi="Times New Roman"/>
          <w:sz w:val="20"/>
          <w:szCs w:val="20"/>
        </w:rPr>
        <w:t>(CDC)</w:t>
      </w:r>
      <w:r w:rsidRPr="00087152">
        <w:rPr>
          <w:rFonts w:ascii="Times New Roman"/>
          <w:sz w:val="20"/>
          <w:szCs w:val="20"/>
        </w:rPr>
        <w:t>《合理用盐电子报》（</w:t>
      </w:r>
      <w:r w:rsidRPr="00087152">
        <w:rPr>
          <w:rFonts w:ascii="Times New Roman" w:hAnsi="Times New Roman"/>
          <w:sz w:val="20"/>
          <w:szCs w:val="20"/>
        </w:rPr>
        <w:t>Salt e-Update</w:t>
      </w:r>
      <w:r w:rsidRPr="00087152">
        <w:rPr>
          <w:rFonts w:ascii="Times New Roman"/>
          <w:sz w:val="20"/>
          <w:szCs w:val="20"/>
        </w:rPr>
        <w:t>）的更新内容包括：校园减盐成功的新案例。</w:t>
      </w:r>
    </w:p>
    <w:p w:rsidR="006C4FE0" w:rsidRPr="00087152" w:rsidRDefault="006C4FE0" w:rsidP="006C4FE0">
      <w:pPr>
        <w:pStyle w:val="NoSpacing"/>
        <w:adjustRightInd w:val="0"/>
        <w:snapToGrid w:val="0"/>
        <w:spacing w:afterLines="50" w:after="120"/>
        <w:jc w:val="both"/>
        <w:rPr>
          <w:rFonts w:ascii="Times New Roman" w:hAnsi="Times New Roman"/>
          <w:sz w:val="20"/>
          <w:szCs w:val="20"/>
        </w:rPr>
      </w:pPr>
    </w:p>
    <w:p w:rsidR="006C4FE0" w:rsidRPr="00087152" w:rsidRDefault="006C4FE0" w:rsidP="006C4FE0">
      <w:pPr>
        <w:adjustRightInd w:val="0"/>
        <w:snapToGrid w:val="0"/>
        <w:spacing w:afterLines="50" w:after="120"/>
        <w:rPr>
          <w:rFonts w:ascii="Times New Roman" w:hAnsi="Times New Roman"/>
          <w:sz w:val="20"/>
          <w:szCs w:val="20"/>
        </w:rPr>
      </w:pPr>
      <w:r w:rsidRPr="00087152">
        <w:rPr>
          <w:rFonts w:ascii="Times New Roman" w:hAnsi="宋体"/>
          <w:b/>
          <w:bCs/>
          <w:sz w:val="20"/>
          <w:szCs w:val="20"/>
          <w:u w:val="single"/>
        </w:rPr>
        <w:t>校园减盐成功案例</w:t>
      </w:r>
    </w:p>
    <w:p w:rsidR="006C4FE0" w:rsidRPr="00087152" w:rsidRDefault="006C4FE0" w:rsidP="006C4FE0">
      <w:pPr>
        <w:adjustRightInd w:val="0"/>
        <w:snapToGrid w:val="0"/>
        <w:spacing w:afterLines="50" w:after="120"/>
        <w:ind w:firstLineChars="200" w:firstLine="400"/>
        <w:rPr>
          <w:rFonts w:ascii="Times New Roman" w:hAnsi="Times New Roman"/>
          <w:sz w:val="20"/>
          <w:szCs w:val="20"/>
        </w:rPr>
      </w:pPr>
      <w:r w:rsidRPr="00087152">
        <w:rPr>
          <w:rFonts w:ascii="Times New Roman" w:hAnsi="宋体"/>
          <w:sz w:val="20"/>
          <w:szCs w:val="20"/>
        </w:rPr>
        <w:t>近期有媒体发布新闻称，爱达荷州爱达荷福尔斯市博纳维尔</w:t>
      </w:r>
      <w:r w:rsidRPr="00087152">
        <w:rPr>
          <w:rFonts w:ascii="Times New Roman" w:hAnsi="Times New Roman"/>
          <w:sz w:val="20"/>
          <w:szCs w:val="20"/>
        </w:rPr>
        <w:t>(Bonneville)</w:t>
      </w:r>
      <w:r w:rsidRPr="00087152">
        <w:rPr>
          <w:rFonts w:ascii="Times New Roman" w:hAnsi="宋体"/>
          <w:sz w:val="20"/>
          <w:szCs w:val="20"/>
        </w:rPr>
        <w:t>联合校区采取的减盐措施获得成功。这则题为《爱达荷州进一步推动校园减盐措施》重点介绍了该校区与学校厨师共同解决校园餐食问题，制定含钠量合理的菜谱并寻找更多减盐方法。学校工作人员通过研究菜单和生产记录找出了造成含钠量高的问题所在，并就此对学校的菜单进行了修改。具体修改内容包括：</w:t>
      </w:r>
    </w:p>
    <w:p w:rsidR="006C4FE0" w:rsidRPr="00087152" w:rsidRDefault="006C4FE0" w:rsidP="006C4FE0">
      <w:pPr>
        <w:pStyle w:val="ListParagraph"/>
        <w:numPr>
          <w:ilvl w:val="0"/>
          <w:numId w:val="3"/>
        </w:numPr>
        <w:tabs>
          <w:tab w:val="left" w:pos="709"/>
        </w:tabs>
        <w:adjustRightInd w:val="0"/>
        <w:snapToGrid w:val="0"/>
        <w:spacing w:afterLines="50" w:after="120"/>
        <w:ind w:leftChars="190" w:left="726" w:hangingChars="154" w:hanging="308"/>
        <w:jc w:val="both"/>
        <w:rPr>
          <w:rFonts w:ascii="Times New Roman" w:hAnsi="Times New Roman"/>
          <w:sz w:val="20"/>
          <w:szCs w:val="20"/>
          <w:lang w:eastAsia="zh-CN"/>
        </w:rPr>
      </w:pPr>
      <w:r w:rsidRPr="00087152">
        <w:rPr>
          <w:rFonts w:ascii="Times New Roman" w:hAnsi="宋体"/>
          <w:sz w:val="20"/>
          <w:szCs w:val="20"/>
          <w:lang w:eastAsia="zh-CN"/>
        </w:rPr>
        <w:t>不加腌黄瓜条（每份</w:t>
      </w:r>
      <w:r w:rsidRPr="00087152">
        <w:rPr>
          <w:rFonts w:ascii="Times New Roman" w:hAnsi="Times New Roman"/>
          <w:sz w:val="20"/>
          <w:szCs w:val="20"/>
          <w:lang w:eastAsia="zh-CN"/>
        </w:rPr>
        <w:t>1</w:t>
      </w:r>
      <w:r w:rsidRPr="00087152">
        <w:rPr>
          <w:rFonts w:ascii="Times New Roman" w:hAnsi="宋体"/>
          <w:sz w:val="20"/>
          <w:szCs w:val="20"/>
          <w:lang w:eastAsia="zh-CN"/>
        </w:rPr>
        <w:t>盎司黄瓜条含</w:t>
      </w:r>
      <w:r w:rsidRPr="00087152">
        <w:rPr>
          <w:rFonts w:ascii="Times New Roman" w:hAnsi="Times New Roman"/>
          <w:sz w:val="20"/>
          <w:szCs w:val="20"/>
          <w:lang w:eastAsia="zh-CN"/>
        </w:rPr>
        <w:t>320</w:t>
      </w:r>
      <w:r w:rsidRPr="00087152">
        <w:rPr>
          <w:rFonts w:ascii="Times New Roman" w:hAnsi="宋体"/>
          <w:sz w:val="20"/>
          <w:szCs w:val="20"/>
          <w:lang w:eastAsia="zh-CN"/>
        </w:rPr>
        <w:t>毫克钠）</w:t>
      </w:r>
    </w:p>
    <w:p w:rsidR="006C4FE0" w:rsidRPr="00087152" w:rsidRDefault="006C4FE0" w:rsidP="006C4FE0">
      <w:pPr>
        <w:pStyle w:val="ListParagraph"/>
        <w:numPr>
          <w:ilvl w:val="0"/>
          <w:numId w:val="3"/>
        </w:numPr>
        <w:tabs>
          <w:tab w:val="left" w:pos="709"/>
        </w:tabs>
        <w:adjustRightInd w:val="0"/>
        <w:snapToGrid w:val="0"/>
        <w:spacing w:afterLines="50" w:after="120"/>
        <w:ind w:leftChars="190" w:left="726" w:hangingChars="154" w:hanging="308"/>
        <w:jc w:val="both"/>
        <w:rPr>
          <w:rFonts w:ascii="Times New Roman" w:hAnsi="Times New Roman"/>
          <w:sz w:val="20"/>
          <w:szCs w:val="20"/>
          <w:lang w:eastAsia="zh-CN"/>
        </w:rPr>
      </w:pPr>
      <w:r w:rsidRPr="00087152">
        <w:rPr>
          <w:rFonts w:ascii="Times New Roman" w:hAnsi="宋体"/>
          <w:sz w:val="20"/>
          <w:szCs w:val="20"/>
          <w:lang w:eastAsia="zh-CN"/>
        </w:rPr>
        <w:t>汉堡中不加奶酪（每片奶酪含</w:t>
      </w:r>
      <w:r w:rsidRPr="00087152">
        <w:rPr>
          <w:rFonts w:ascii="Times New Roman" w:hAnsi="Times New Roman"/>
          <w:sz w:val="20"/>
          <w:szCs w:val="20"/>
          <w:lang w:eastAsia="zh-CN"/>
        </w:rPr>
        <w:t>145</w:t>
      </w:r>
      <w:r w:rsidRPr="00087152">
        <w:rPr>
          <w:rFonts w:ascii="Times New Roman" w:hAnsi="宋体"/>
          <w:sz w:val="20"/>
          <w:szCs w:val="20"/>
          <w:lang w:eastAsia="zh-CN"/>
        </w:rPr>
        <w:t>毫克钠）</w:t>
      </w:r>
    </w:p>
    <w:p w:rsidR="006C4FE0" w:rsidRPr="00087152" w:rsidRDefault="006C4FE0" w:rsidP="006C4FE0">
      <w:pPr>
        <w:pStyle w:val="ListParagraph"/>
        <w:numPr>
          <w:ilvl w:val="0"/>
          <w:numId w:val="3"/>
        </w:numPr>
        <w:tabs>
          <w:tab w:val="left" w:pos="709"/>
        </w:tabs>
        <w:adjustRightInd w:val="0"/>
        <w:snapToGrid w:val="0"/>
        <w:spacing w:afterLines="50" w:after="120"/>
        <w:ind w:leftChars="190" w:left="726" w:hangingChars="154" w:hanging="308"/>
        <w:jc w:val="both"/>
        <w:rPr>
          <w:rFonts w:ascii="Times New Roman" w:hAnsi="Times New Roman"/>
          <w:sz w:val="20"/>
          <w:szCs w:val="20"/>
          <w:lang w:eastAsia="zh-CN"/>
        </w:rPr>
      </w:pPr>
      <w:r w:rsidRPr="00087152">
        <w:rPr>
          <w:rFonts w:ascii="Times New Roman" w:hAnsi="宋体"/>
          <w:sz w:val="20"/>
          <w:szCs w:val="20"/>
          <w:lang w:eastAsia="zh-CN"/>
        </w:rPr>
        <w:t>使用美国农业部素食豆类制成的烘豆（每份较之前减少</w:t>
      </w:r>
      <w:r w:rsidRPr="00087152">
        <w:rPr>
          <w:rFonts w:ascii="Times New Roman" w:hAnsi="Times New Roman"/>
          <w:sz w:val="20"/>
          <w:szCs w:val="20"/>
          <w:lang w:eastAsia="zh-CN"/>
        </w:rPr>
        <w:t>400</w:t>
      </w:r>
      <w:r w:rsidRPr="00087152">
        <w:rPr>
          <w:rFonts w:ascii="Times New Roman" w:hAnsi="宋体"/>
          <w:sz w:val="20"/>
          <w:szCs w:val="20"/>
          <w:lang w:eastAsia="zh-CN"/>
        </w:rPr>
        <w:t>毫克钠）</w:t>
      </w:r>
    </w:p>
    <w:p w:rsidR="006C4FE0" w:rsidRPr="00087152" w:rsidRDefault="006C4FE0" w:rsidP="006C4FE0">
      <w:pPr>
        <w:pStyle w:val="ListParagraph"/>
        <w:tabs>
          <w:tab w:val="left" w:pos="709"/>
        </w:tabs>
        <w:adjustRightInd w:val="0"/>
        <w:snapToGrid w:val="0"/>
        <w:spacing w:afterLines="50" w:after="120"/>
        <w:ind w:left="707"/>
        <w:jc w:val="both"/>
        <w:rPr>
          <w:rFonts w:ascii="Times New Roman" w:hAnsi="Times New Roman"/>
          <w:sz w:val="20"/>
          <w:szCs w:val="20"/>
          <w:lang w:eastAsia="zh-CN"/>
        </w:rPr>
      </w:pPr>
    </w:p>
    <w:p w:rsidR="006C4FE0" w:rsidRPr="00087152" w:rsidRDefault="006C4FE0" w:rsidP="006C4FE0">
      <w:pPr>
        <w:pStyle w:val="Default"/>
        <w:adjustRightInd w:val="0"/>
        <w:snapToGrid w:val="0"/>
        <w:spacing w:afterLines="50" w:after="120"/>
        <w:ind w:firstLineChars="200" w:firstLine="400"/>
        <w:jc w:val="both"/>
        <w:rPr>
          <w:rFonts w:ascii="Times New Roman" w:hAnsi="Times New Roman"/>
          <w:color w:val="auto"/>
          <w:sz w:val="20"/>
          <w:szCs w:val="20"/>
          <w:lang w:eastAsia="zh-CN"/>
        </w:rPr>
      </w:pPr>
      <w:r w:rsidRPr="00087152">
        <w:rPr>
          <w:rFonts w:ascii="Times New Roman" w:hAnsi="宋体"/>
          <w:color w:val="auto"/>
          <w:sz w:val="20"/>
          <w:szCs w:val="20"/>
          <w:lang w:eastAsia="zh-CN"/>
        </w:rPr>
        <w:t>点击下方链接可详细阅读该成功案例：</w:t>
      </w:r>
    </w:p>
    <w:p w:rsidR="00152D2A" w:rsidRPr="004F20CE" w:rsidRDefault="006C4FE0" w:rsidP="006C4FE0">
      <w:pPr>
        <w:pStyle w:val="NormalWeb"/>
        <w:adjustRightInd w:val="0"/>
        <w:snapToGrid w:val="0"/>
        <w:spacing w:afterLines="50" w:after="120"/>
        <w:ind w:firstLineChars="200" w:firstLine="480"/>
        <w:jc w:val="both"/>
        <w:rPr>
          <w:rFonts w:ascii="Times New Roman" w:hAnsi="Times New Roman"/>
          <w:sz w:val="20"/>
          <w:szCs w:val="20"/>
        </w:rPr>
      </w:pPr>
      <w:hyperlink r:id="rId9" w:history="1">
        <w:r w:rsidRPr="00087152">
          <w:rPr>
            <w:rStyle w:val="Hyperlink"/>
            <w:rFonts w:ascii="Times New Roman" w:hAnsi="Times New Roman"/>
            <w:color w:val="auto"/>
            <w:sz w:val="20"/>
            <w:szCs w:val="20"/>
          </w:rPr>
          <w:t>http://www.cdc.gov/salt/pdfs/successstory_bonneville_id.pdf</w:t>
        </w:r>
      </w:hyperlink>
      <w:r w:rsidRPr="00087152">
        <w:rPr>
          <w:rFonts w:ascii="Times New Roman" w:hAnsi="Times New Roman"/>
          <w:sz w:val="20"/>
          <w:szCs w:val="20"/>
        </w:rPr>
        <w:t>.</w:t>
      </w:r>
      <w:r w:rsidR="00152D2A" w:rsidRPr="004F20CE">
        <w:rPr>
          <w:rFonts w:ascii="Times New Roman" w:hAnsi="Times New Roman"/>
          <w:sz w:val="20"/>
          <w:szCs w:val="20"/>
        </w:rPr>
        <w:t xml:space="preserve"> </w:t>
      </w:r>
    </w:p>
    <w:p w:rsidR="00E1357F" w:rsidRDefault="00E1357F" w:rsidP="00B24E61">
      <w:pPr>
        <w:spacing w:after="120" w:line="360" w:lineRule="auto"/>
        <w:ind w:right="300"/>
        <w:rPr>
          <w:rFonts w:hAnsi="宋体"/>
          <w:color w:val="222222"/>
          <w:szCs w:val="21"/>
          <w:lang w:val="en-GB"/>
        </w:rPr>
      </w:pPr>
      <w:r>
        <w:rPr>
          <w:rFonts w:hAnsi="宋体" w:hint="eastAsia"/>
          <w:color w:val="222222"/>
          <w:sz w:val="20"/>
          <w:szCs w:val="21"/>
        </w:rPr>
        <w:t>感谢您对减少钠摄入长期以来的关注和支持！</w:t>
      </w:r>
      <w:r>
        <w:rPr>
          <w:rFonts w:hAnsi="宋体" w:hint="eastAsia"/>
          <w:color w:val="222222"/>
          <w:sz w:val="20"/>
          <w:szCs w:val="21"/>
        </w:rPr>
        <w:t xml:space="preserve"> </w:t>
      </w: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0"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357773" w:rsidRDefault="00357773" w:rsidP="00357773">
      <w:pPr>
        <w:spacing w:after="240"/>
        <w:jc w:val="center"/>
        <w:rPr>
          <w:rFonts w:ascii="Arial" w:hAnsi="Arial" w:cs="Arial"/>
          <w:sz w:val="20"/>
          <w:szCs w:val="20"/>
        </w:rPr>
      </w:pPr>
      <w:bookmarkStart w:id="0" w:name="_GoBack"/>
      <w:bookmarkEnd w:id="0"/>
      <w:r>
        <w:rPr>
          <w:rFonts w:ascii="Arial" w:hAnsi="Arial" w:cs="Arial"/>
          <w:noProof/>
          <w:sz w:val="20"/>
          <w:szCs w:val="20"/>
        </w:rPr>
        <w:lastRenderedPageBreak/>
        <w:drawing>
          <wp:inline distT="0" distB="0" distL="0" distR="0">
            <wp:extent cx="4943475" cy="1009650"/>
            <wp:effectExtent l="0" t="0" r="9525" b="0"/>
            <wp:docPr id="3" name="Picture 3" descr="cid:image001.png@01CE9994.F55F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9994.F55F8310"/>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4943475" cy="1009650"/>
                    </a:xfrm>
                    <a:prstGeom prst="rect">
                      <a:avLst/>
                    </a:prstGeom>
                    <a:noFill/>
                    <a:ln>
                      <a:noFill/>
                    </a:ln>
                  </pic:spPr>
                </pic:pic>
              </a:graphicData>
            </a:graphic>
          </wp:inline>
        </w:drawing>
      </w:r>
    </w:p>
    <w:p w:rsidR="006C4FE0" w:rsidRDefault="006C4FE0" w:rsidP="006C4FE0">
      <w:pPr>
        <w:pStyle w:val="NoSpacing"/>
        <w:spacing w:after="240"/>
        <w:rPr>
          <w:rFonts w:ascii="Arial" w:hAnsi="Arial" w:cs="Arial"/>
          <w:sz w:val="20"/>
          <w:szCs w:val="20"/>
        </w:rPr>
      </w:pPr>
      <w:r>
        <w:rPr>
          <w:rFonts w:ascii="Arial" w:hAnsi="Arial" w:cs="Arial"/>
          <w:sz w:val="20"/>
          <w:szCs w:val="20"/>
        </w:rPr>
        <w:t>Hello –</w:t>
      </w:r>
    </w:p>
    <w:p w:rsidR="006C4FE0" w:rsidRDefault="006C4FE0" w:rsidP="006C4FE0">
      <w:pPr>
        <w:pStyle w:val="NoSpacing"/>
        <w:spacing w:after="240"/>
        <w:rPr>
          <w:rFonts w:ascii="Arial" w:hAnsi="Arial" w:cs="Arial"/>
          <w:sz w:val="20"/>
          <w:szCs w:val="20"/>
        </w:rPr>
      </w:pPr>
      <w:r>
        <w:rPr>
          <w:rFonts w:ascii="Arial" w:hAnsi="Arial" w:cs="Arial"/>
          <w:sz w:val="20"/>
          <w:szCs w:val="20"/>
        </w:rPr>
        <w:t>This week’s CDC Salt e-Update includes a new success story related to sodium reduction in schools.  </w:t>
      </w:r>
    </w:p>
    <w:p w:rsidR="006C4FE0" w:rsidRDefault="006C4FE0" w:rsidP="006C4FE0">
      <w:pPr>
        <w:autoSpaceDE w:val="0"/>
        <w:autoSpaceDN w:val="0"/>
        <w:rPr>
          <w:rFonts w:ascii="Arial" w:hAnsi="Arial" w:cs="Arial"/>
          <w:sz w:val="20"/>
          <w:szCs w:val="20"/>
        </w:rPr>
      </w:pPr>
      <w:r>
        <w:rPr>
          <w:rFonts w:ascii="Arial" w:hAnsi="Arial" w:cs="Arial"/>
          <w:b/>
          <w:bCs/>
          <w:sz w:val="20"/>
          <w:szCs w:val="20"/>
          <w:u w:val="single"/>
        </w:rPr>
        <w:t xml:space="preserve">Successful Sodium Reduction in Schools </w:t>
      </w:r>
      <w:r>
        <w:rPr>
          <w:rFonts w:ascii="Arial" w:hAnsi="Arial" w:cs="Arial"/>
          <w:b/>
          <w:bCs/>
          <w:color w:val="1F497D"/>
          <w:sz w:val="20"/>
          <w:szCs w:val="20"/>
          <w:u w:val="single"/>
        </w:rPr>
        <w:br/>
      </w:r>
      <w:r>
        <w:rPr>
          <w:rFonts w:ascii="Arial" w:hAnsi="Arial" w:cs="Arial"/>
          <w:sz w:val="20"/>
          <w:szCs w:val="20"/>
        </w:rPr>
        <w:t>A new success story related to sodium reduction in the Bonneville Joint School District in Idaho Falls, Idaho, was recently published. The story entitled “</w:t>
      </w:r>
      <w:r>
        <w:rPr>
          <w:rFonts w:ascii="Arial" w:hAnsi="Arial" w:cs="Arial"/>
          <w:sz w:val="20"/>
          <w:szCs w:val="20"/>
          <w:lang w:eastAsia="en-US"/>
        </w:rPr>
        <w:t>Idaho School Steps Up to Drive Sodium Down</w:t>
      </w:r>
      <w:r>
        <w:rPr>
          <w:rFonts w:ascii="Arial" w:hAnsi="Arial" w:cs="Arial"/>
          <w:sz w:val="20"/>
          <w:szCs w:val="20"/>
        </w:rPr>
        <w:t xml:space="preserve">” highlights activities between the school district and the </w:t>
      </w:r>
      <w:r>
        <w:rPr>
          <w:rFonts w:ascii="Arial" w:hAnsi="Arial" w:cs="Arial"/>
          <w:sz w:val="20"/>
          <w:szCs w:val="20"/>
          <w:lang w:eastAsia="en-US"/>
        </w:rPr>
        <w:t>schools’ chef to</w:t>
      </w:r>
      <w:r>
        <w:rPr>
          <w:rFonts w:ascii="Arial" w:hAnsi="Arial" w:cs="Arial"/>
          <w:sz w:val="20"/>
          <w:szCs w:val="20"/>
        </w:rPr>
        <w:t xml:space="preserve"> figure out the average s</w:t>
      </w:r>
      <w:r>
        <w:rPr>
          <w:rFonts w:ascii="Arial" w:hAnsi="Arial" w:cs="Arial"/>
          <w:sz w:val="20"/>
          <w:szCs w:val="20"/>
          <w:lang w:eastAsia="en-US"/>
        </w:rPr>
        <w:t xml:space="preserve">odium content of </w:t>
      </w:r>
      <w:r>
        <w:rPr>
          <w:rFonts w:ascii="Arial" w:hAnsi="Arial" w:cs="Arial"/>
          <w:sz w:val="20"/>
          <w:szCs w:val="20"/>
        </w:rPr>
        <w:t xml:space="preserve">school </w:t>
      </w:r>
      <w:r>
        <w:rPr>
          <w:rFonts w:ascii="Arial" w:hAnsi="Arial" w:cs="Arial"/>
          <w:sz w:val="20"/>
          <w:szCs w:val="20"/>
          <w:lang w:eastAsia="en-US"/>
        </w:rPr>
        <w:t xml:space="preserve">meals and identify opportunities for sodium reduction. </w:t>
      </w:r>
      <w:r>
        <w:rPr>
          <w:rFonts w:ascii="Arial" w:hAnsi="Arial" w:cs="Arial"/>
          <w:sz w:val="20"/>
          <w:szCs w:val="20"/>
        </w:rPr>
        <w:t xml:space="preserve">Using </w:t>
      </w:r>
      <w:r>
        <w:rPr>
          <w:rFonts w:ascii="Arial" w:hAnsi="Arial" w:cs="Arial"/>
          <w:sz w:val="20"/>
          <w:szCs w:val="20"/>
          <w:lang w:eastAsia="en-US"/>
        </w:rPr>
        <w:t>menu and production records</w:t>
      </w:r>
      <w:r>
        <w:rPr>
          <w:rFonts w:ascii="Arial" w:hAnsi="Arial" w:cs="Arial"/>
          <w:sz w:val="20"/>
          <w:szCs w:val="20"/>
        </w:rPr>
        <w:t>, staff identified higher sod</w:t>
      </w:r>
      <w:r>
        <w:rPr>
          <w:rFonts w:ascii="Arial" w:hAnsi="Arial" w:cs="Arial"/>
          <w:sz w:val="20"/>
          <w:szCs w:val="20"/>
          <w:lang w:eastAsia="en-US"/>
        </w:rPr>
        <w:t xml:space="preserve">ium items and </w:t>
      </w:r>
      <w:r>
        <w:rPr>
          <w:rFonts w:ascii="Arial" w:hAnsi="Arial" w:cs="Arial"/>
          <w:sz w:val="20"/>
          <w:szCs w:val="20"/>
        </w:rPr>
        <w:t xml:space="preserve">modified the schools’ menu. Changes made include: </w:t>
      </w:r>
    </w:p>
    <w:p w:rsidR="006C4FE0" w:rsidRDefault="006C4FE0" w:rsidP="006C4FE0">
      <w:pPr>
        <w:autoSpaceDE w:val="0"/>
        <w:autoSpaceDN w:val="0"/>
        <w:rPr>
          <w:rFonts w:ascii="Arial" w:hAnsi="Arial" w:cs="Arial"/>
          <w:sz w:val="20"/>
          <w:szCs w:val="20"/>
        </w:rPr>
      </w:pPr>
    </w:p>
    <w:p w:rsidR="006C4FE0" w:rsidRDefault="006C4FE0" w:rsidP="006C4FE0">
      <w:pPr>
        <w:pStyle w:val="ListParagraph"/>
        <w:numPr>
          <w:ilvl w:val="0"/>
          <w:numId w:val="2"/>
        </w:numPr>
        <w:autoSpaceDE w:val="0"/>
        <w:autoSpaceDN w:val="0"/>
        <w:rPr>
          <w:rFonts w:ascii="Arial" w:hAnsi="Arial" w:cs="Arial"/>
          <w:sz w:val="20"/>
          <w:szCs w:val="20"/>
        </w:rPr>
      </w:pPr>
      <w:r>
        <w:rPr>
          <w:rFonts w:ascii="Arial" w:hAnsi="Arial" w:cs="Arial"/>
          <w:sz w:val="20"/>
          <w:szCs w:val="20"/>
        </w:rPr>
        <w:t>Removing pickle spears (saved 320 mg of sodium per 1-ounce serving)</w:t>
      </w:r>
    </w:p>
    <w:p w:rsidR="006C4FE0" w:rsidRDefault="006C4FE0" w:rsidP="006C4FE0">
      <w:pPr>
        <w:pStyle w:val="ListParagraph"/>
        <w:numPr>
          <w:ilvl w:val="0"/>
          <w:numId w:val="2"/>
        </w:numPr>
        <w:autoSpaceDE w:val="0"/>
        <w:autoSpaceDN w:val="0"/>
        <w:rPr>
          <w:rFonts w:ascii="Arial" w:hAnsi="Arial" w:cs="Arial"/>
          <w:sz w:val="20"/>
          <w:szCs w:val="20"/>
        </w:rPr>
      </w:pPr>
      <w:r>
        <w:rPr>
          <w:rFonts w:ascii="Arial" w:hAnsi="Arial" w:cs="Arial"/>
          <w:sz w:val="20"/>
          <w:szCs w:val="20"/>
        </w:rPr>
        <w:t xml:space="preserve">Serving burgers without cheese (saved 145 mg of sodium per slice) </w:t>
      </w:r>
    </w:p>
    <w:p w:rsidR="006C4FE0" w:rsidRDefault="006C4FE0" w:rsidP="006C4FE0">
      <w:pPr>
        <w:pStyle w:val="ListParagraph"/>
        <w:numPr>
          <w:ilvl w:val="0"/>
          <w:numId w:val="2"/>
        </w:numPr>
        <w:autoSpaceDE w:val="0"/>
        <w:autoSpaceDN w:val="0"/>
        <w:rPr>
          <w:rFonts w:ascii="Arial" w:hAnsi="Arial" w:cs="Arial"/>
          <w:sz w:val="20"/>
          <w:szCs w:val="20"/>
        </w:rPr>
      </w:pPr>
      <w:r>
        <w:rPr>
          <w:rFonts w:ascii="Arial" w:hAnsi="Arial" w:cs="Arial"/>
          <w:sz w:val="20"/>
          <w:szCs w:val="20"/>
        </w:rPr>
        <w:t>Preparing baked beans using USDA vegetarian beans (saved 400 mg of sodium per serving)</w:t>
      </w:r>
    </w:p>
    <w:p w:rsidR="006C4FE0" w:rsidRDefault="006C4FE0" w:rsidP="006C4FE0">
      <w:pPr>
        <w:pStyle w:val="Default"/>
        <w:rPr>
          <w:rFonts w:ascii="Arial" w:hAnsi="Arial" w:cs="Arial"/>
          <w:color w:val="auto"/>
          <w:sz w:val="20"/>
          <w:szCs w:val="20"/>
        </w:rPr>
      </w:pPr>
    </w:p>
    <w:p w:rsidR="006C4FE0" w:rsidRDefault="006C4FE0" w:rsidP="006C4FE0">
      <w:pPr>
        <w:pStyle w:val="Default"/>
        <w:spacing w:after="240"/>
        <w:rPr>
          <w:rFonts w:ascii="Arial" w:hAnsi="Arial" w:cs="Arial"/>
          <w:sz w:val="20"/>
          <w:szCs w:val="20"/>
        </w:rPr>
      </w:pPr>
      <w:r>
        <w:rPr>
          <w:rFonts w:ascii="Arial" w:hAnsi="Arial" w:cs="Arial"/>
          <w:color w:val="auto"/>
          <w:sz w:val="20"/>
          <w:szCs w:val="20"/>
        </w:rPr>
        <w:t xml:space="preserve">The success story may be found here: </w:t>
      </w:r>
      <w:hyperlink r:id="rId12" w:history="1">
        <w:r>
          <w:rPr>
            <w:rStyle w:val="Hyperlink"/>
            <w:rFonts w:ascii="Arial" w:hAnsi="Arial" w:cs="Arial"/>
            <w:color w:val="auto"/>
            <w:sz w:val="20"/>
            <w:szCs w:val="20"/>
          </w:rPr>
          <w:t>http://www.cdc.gov/salt/pdfs/successstory_bonneville_id.pdf</w:t>
        </w:r>
      </w:hyperlink>
      <w:r>
        <w:rPr>
          <w:rFonts w:ascii="Arial" w:hAnsi="Arial" w:cs="Arial"/>
          <w:color w:val="auto"/>
          <w:sz w:val="20"/>
          <w:szCs w:val="20"/>
        </w:rPr>
        <w:t xml:space="preserve">. </w:t>
      </w:r>
      <w:r>
        <w:rPr>
          <w:rFonts w:ascii="ITC Garamond Std Lt" w:hAnsi="ITC Garamond Std Lt"/>
          <w:color w:val="auto"/>
          <w:sz w:val="19"/>
          <w:szCs w:val="19"/>
        </w:rPr>
        <w:t> </w:t>
      </w:r>
    </w:p>
    <w:p w:rsidR="006C4FE0" w:rsidRDefault="006C4FE0" w:rsidP="006C4FE0">
      <w:pPr>
        <w:spacing w:line="252" w:lineRule="auto"/>
        <w:rPr>
          <w:rFonts w:ascii="Arial" w:hAnsi="Arial" w:cs="Arial"/>
          <w:sz w:val="20"/>
          <w:szCs w:val="20"/>
        </w:rPr>
      </w:pPr>
      <w:r>
        <w:rPr>
          <w:rFonts w:ascii="Arial" w:hAnsi="Arial" w:cs="Arial"/>
          <w:sz w:val="20"/>
          <w:szCs w:val="20"/>
        </w:rPr>
        <w:t>Thank you for your continued engagement in sodium reduction.</w:t>
      </w:r>
    </w:p>
    <w:p w:rsidR="006C4FE0" w:rsidRDefault="006C4FE0" w:rsidP="006C4FE0">
      <w:pPr>
        <w:spacing w:line="252" w:lineRule="auto"/>
        <w:rPr>
          <w:sz w:val="20"/>
          <w:szCs w:val="20"/>
        </w:rPr>
      </w:pPr>
    </w:p>
    <w:p w:rsidR="006C4FE0" w:rsidRDefault="006C4FE0" w:rsidP="006C4FE0">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3" w:history="1">
        <w:r>
          <w:rPr>
            <w:rStyle w:val="Hyperlink"/>
            <w:rFonts w:ascii="Arial" w:hAnsi="Arial" w:cs="Arial"/>
            <w:i/>
            <w:iCs/>
            <w:sz w:val="20"/>
            <w:szCs w:val="20"/>
          </w:rPr>
          <w:t>JLevings@cdc.gov</w:t>
        </w:r>
      </w:hyperlink>
      <w:r>
        <w:rPr>
          <w:rFonts w:ascii="Arial" w:hAnsi="Arial" w:cs="Arial"/>
          <w:i/>
          <w:iCs/>
          <w:sz w:val="20"/>
          <w:szCs w:val="20"/>
        </w:rPr>
        <w:t xml:space="preserve">. </w:t>
      </w:r>
    </w:p>
    <w:p w:rsidR="006C4FE0" w:rsidRDefault="006C4FE0" w:rsidP="006C4FE0">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6C4FE0" w:rsidRDefault="006C4FE0" w:rsidP="006C4FE0"/>
    <w:p w:rsidR="00E1357F" w:rsidRPr="005B13F4" w:rsidRDefault="00E1357F" w:rsidP="006C4FE0">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TC Garamond Std L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560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53074"/>
    <w:rsid w:val="00152D2A"/>
    <w:rsid w:val="001B3658"/>
    <w:rsid w:val="00242799"/>
    <w:rsid w:val="002C4C62"/>
    <w:rsid w:val="00332838"/>
    <w:rsid w:val="003425B4"/>
    <w:rsid w:val="00357773"/>
    <w:rsid w:val="00363A77"/>
    <w:rsid w:val="003B2BD1"/>
    <w:rsid w:val="003D6F97"/>
    <w:rsid w:val="004B38F6"/>
    <w:rsid w:val="005B13F4"/>
    <w:rsid w:val="00601EC0"/>
    <w:rsid w:val="006856EC"/>
    <w:rsid w:val="00687253"/>
    <w:rsid w:val="006A2E43"/>
    <w:rsid w:val="006B5023"/>
    <w:rsid w:val="006C4FE0"/>
    <w:rsid w:val="007E1095"/>
    <w:rsid w:val="00800095"/>
    <w:rsid w:val="00833AEA"/>
    <w:rsid w:val="00920E2B"/>
    <w:rsid w:val="00941BD6"/>
    <w:rsid w:val="009D0677"/>
    <w:rsid w:val="00A55D9F"/>
    <w:rsid w:val="00A979B8"/>
    <w:rsid w:val="00B24E61"/>
    <w:rsid w:val="00CB08F2"/>
    <w:rsid w:val="00CD4E09"/>
    <w:rsid w:val="00D96B0C"/>
    <w:rsid w:val="00E0237B"/>
    <w:rsid w:val="00E1357F"/>
    <w:rsid w:val="00E240CA"/>
    <w:rsid w:val="00F75F49"/>
    <w:rsid w:val="00FB1737"/>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evings@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salt/pdfs/successstory_bonneville_i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00EF.ED77A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iy@cn.cdc.gov)" TargetMode="External"/><Relationship Id="rId4" Type="http://schemas.openxmlformats.org/officeDocument/2006/relationships/settings" Target="settings.xml"/><Relationship Id="rId9" Type="http://schemas.openxmlformats.org/officeDocument/2006/relationships/hyperlink" Target="http://www.cdc.gov/salt/pdfs/successstory_bonneville_id.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2015-12-14T03:37:00Z</dcterms:created>
  <dcterms:modified xsi:type="dcterms:W3CDTF">2015-12-14T03:39:00Z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