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9B8" w:rsidRPr="005B13F4" w:rsidRDefault="00687253" w:rsidP="00152D2A">
      <w:pPr>
        <w:pStyle w:val="1"/>
        <w:spacing w:afterLines="50" w:after="120" w:line="360" w:lineRule="auto"/>
        <w:jc w:val="center"/>
        <w:rPr>
          <w:rFonts w:ascii="Times New Roman" w:hAnsi="Times New Roman"/>
          <w:sz w:val="20"/>
          <w:szCs w:val="20"/>
        </w:rPr>
      </w:pPr>
      <w:bookmarkStart w:id="0" w:name="_GoBack"/>
      <w:r>
        <w:rPr>
          <w:rFonts w:ascii="Times New Roman" w:hAnsi="Times New Roman"/>
          <w:noProof/>
          <w:sz w:val="20"/>
          <w:szCs w:val="20"/>
        </w:rPr>
        <w:drawing>
          <wp:inline distT="0" distB="0" distL="0" distR="0">
            <wp:extent cx="495300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1009650"/>
                    </a:xfrm>
                    <a:prstGeom prst="rect">
                      <a:avLst/>
                    </a:prstGeom>
                    <a:noFill/>
                    <a:ln>
                      <a:noFill/>
                    </a:ln>
                  </pic:spPr>
                </pic:pic>
              </a:graphicData>
            </a:graphic>
          </wp:inline>
        </w:drawing>
      </w:r>
    </w:p>
    <w:p w:rsidR="00E1357F" w:rsidRPr="00E1357F" w:rsidRDefault="002504BC" w:rsidP="00B24E61">
      <w:pPr>
        <w:pStyle w:val="1"/>
        <w:spacing w:afterLines="50" w:after="120" w:line="360" w:lineRule="auto"/>
        <w:jc w:val="both"/>
        <w:rPr>
          <w:rFonts w:ascii="Times New Roman" w:hAnsi="宋体"/>
          <w:sz w:val="24"/>
          <w:szCs w:val="24"/>
        </w:rPr>
      </w:pPr>
      <w:r>
        <w:rPr>
          <w:rFonts w:ascii="Times New Roman" w:hAnsi="宋体"/>
          <w:sz w:val="24"/>
          <w:szCs w:val="24"/>
        </w:rPr>
        <w:t>2016</w:t>
      </w:r>
      <w:r>
        <w:rPr>
          <w:rFonts w:ascii="Times New Roman" w:hAnsi="宋体" w:hint="eastAsia"/>
          <w:sz w:val="24"/>
          <w:szCs w:val="24"/>
        </w:rPr>
        <w:t>年</w:t>
      </w:r>
      <w:r>
        <w:rPr>
          <w:rFonts w:ascii="Times New Roman" w:hAnsi="宋体"/>
          <w:sz w:val="24"/>
          <w:szCs w:val="24"/>
        </w:rPr>
        <w:t>1</w:t>
      </w:r>
      <w:r w:rsidR="00E1357F" w:rsidRPr="00E1357F">
        <w:rPr>
          <w:rFonts w:ascii="Times New Roman" w:hAnsi="宋体" w:hint="eastAsia"/>
          <w:sz w:val="24"/>
          <w:szCs w:val="24"/>
        </w:rPr>
        <w:t>月</w:t>
      </w:r>
      <w:r w:rsidR="007045B0">
        <w:rPr>
          <w:rFonts w:ascii="Times New Roman" w:hAnsi="宋体"/>
          <w:sz w:val="24"/>
          <w:szCs w:val="24"/>
        </w:rPr>
        <w:t>1</w:t>
      </w:r>
      <w:r>
        <w:rPr>
          <w:rFonts w:ascii="Times New Roman" w:hAnsi="宋体"/>
          <w:sz w:val="24"/>
          <w:szCs w:val="24"/>
        </w:rPr>
        <w:t>5</w:t>
      </w:r>
      <w:r w:rsidR="00E1357F" w:rsidRPr="00E1357F">
        <w:rPr>
          <w:rFonts w:ascii="Times New Roman" w:hAnsi="宋体" w:hint="eastAsia"/>
          <w:sz w:val="24"/>
          <w:szCs w:val="24"/>
        </w:rPr>
        <w:t>日</w:t>
      </w:r>
    </w:p>
    <w:p w:rsidR="00F14750" w:rsidRPr="007B67EC" w:rsidRDefault="002504BC" w:rsidP="00F14750">
      <w:pPr>
        <w:pStyle w:val="NoSpacing"/>
        <w:adjustRightInd w:val="0"/>
        <w:snapToGrid w:val="0"/>
        <w:spacing w:afterLines="50" w:after="120"/>
        <w:ind w:firstLineChars="213" w:firstLine="426"/>
        <w:jc w:val="both"/>
        <w:rPr>
          <w:rFonts w:ascii="Times New Roman" w:hAnsi="Times New Roman"/>
          <w:szCs w:val="21"/>
        </w:rPr>
      </w:pPr>
      <w:r>
        <w:rPr>
          <w:rFonts w:ascii="Times New Roman"/>
          <w:sz w:val="20"/>
          <w:szCs w:val="20"/>
        </w:rPr>
        <w:t>本周</w:t>
      </w:r>
      <w:r>
        <w:rPr>
          <w:rFonts w:ascii="Times New Roman" w:hint="eastAsia"/>
          <w:sz w:val="20"/>
          <w:szCs w:val="20"/>
        </w:rPr>
        <w:t>的《减盐</w:t>
      </w:r>
      <w:r>
        <w:rPr>
          <w:rFonts w:ascii="Times New Roman"/>
          <w:sz w:val="20"/>
          <w:szCs w:val="20"/>
        </w:rPr>
        <w:t>电子周刊》</w:t>
      </w:r>
      <w:r w:rsidR="006C4FE0" w:rsidRPr="00087152">
        <w:rPr>
          <w:rFonts w:ascii="Times New Roman"/>
          <w:sz w:val="20"/>
          <w:szCs w:val="20"/>
        </w:rPr>
        <w:t>的更新内容包括</w:t>
      </w:r>
      <w:r>
        <w:rPr>
          <w:rFonts w:ascii="Times New Roman" w:hAnsi="宋体" w:hint="eastAsia"/>
          <w:szCs w:val="21"/>
        </w:rPr>
        <w:t>一个项目招标</w:t>
      </w:r>
      <w:r>
        <w:rPr>
          <w:rFonts w:ascii="Times New Roman" w:hAnsi="宋体"/>
          <w:szCs w:val="21"/>
        </w:rPr>
        <w:t>通知</w:t>
      </w:r>
      <w:r w:rsidR="008A5C5A">
        <w:rPr>
          <w:rFonts w:ascii="Times New Roman" w:hAnsi="宋体" w:hint="eastAsia"/>
          <w:szCs w:val="21"/>
        </w:rPr>
        <w:t>（仅对</w:t>
      </w:r>
      <w:r w:rsidR="008A5C5A">
        <w:rPr>
          <w:rFonts w:ascii="Times New Roman" w:hAnsi="宋体"/>
          <w:szCs w:val="21"/>
        </w:rPr>
        <w:t>美国）</w:t>
      </w:r>
      <w:r>
        <w:rPr>
          <w:rFonts w:ascii="Times New Roman" w:hAnsi="宋体"/>
          <w:szCs w:val="21"/>
        </w:rPr>
        <w:t>、钠摄入的新研究和</w:t>
      </w:r>
      <w:r>
        <w:rPr>
          <w:rFonts w:ascii="Times New Roman" w:hAnsi="宋体"/>
          <w:szCs w:val="21"/>
        </w:rPr>
        <w:t>2015-2020</w:t>
      </w:r>
      <w:r>
        <w:rPr>
          <w:rFonts w:ascii="Times New Roman" w:hAnsi="宋体"/>
          <w:szCs w:val="21"/>
        </w:rPr>
        <w:t>美国居民膳食指南</w:t>
      </w:r>
      <w:r w:rsidR="00F14750" w:rsidRPr="007B67EC">
        <w:rPr>
          <w:rFonts w:ascii="Times New Roman" w:hAnsi="宋体"/>
          <w:szCs w:val="21"/>
        </w:rPr>
        <w:t>。</w:t>
      </w:r>
    </w:p>
    <w:p w:rsidR="002504BC" w:rsidRDefault="002504BC" w:rsidP="002504BC">
      <w:pPr>
        <w:autoSpaceDE w:val="0"/>
        <w:autoSpaceDN w:val="0"/>
        <w:rPr>
          <w:rFonts w:ascii="Arial" w:hAnsi="Arial" w:cs="Arial"/>
          <w:b/>
          <w:bCs/>
          <w:sz w:val="20"/>
          <w:szCs w:val="20"/>
          <w:u w:val="single"/>
        </w:rPr>
      </w:pPr>
    </w:p>
    <w:p w:rsidR="00027324" w:rsidRDefault="002504BC" w:rsidP="002504BC">
      <w:pPr>
        <w:autoSpaceDE w:val="0"/>
        <w:autoSpaceDN w:val="0"/>
        <w:rPr>
          <w:rFonts w:ascii="Arial" w:hAnsi="Arial" w:cs="Arial"/>
          <w:sz w:val="20"/>
          <w:szCs w:val="20"/>
        </w:rPr>
      </w:pPr>
      <w:r>
        <w:rPr>
          <w:rFonts w:ascii="Arial" w:hAnsi="Arial" w:cs="Arial" w:hint="eastAsia"/>
          <w:b/>
          <w:bCs/>
          <w:sz w:val="20"/>
          <w:szCs w:val="20"/>
          <w:u w:val="single"/>
        </w:rPr>
        <w:t>新</w:t>
      </w:r>
      <w:r w:rsidR="008A5C5A">
        <w:rPr>
          <w:rFonts w:ascii="Arial" w:hAnsi="Arial" w:cs="Arial" w:hint="eastAsia"/>
          <w:b/>
          <w:bCs/>
          <w:sz w:val="20"/>
          <w:szCs w:val="20"/>
          <w:u w:val="single"/>
        </w:rPr>
        <w:t>美国</w:t>
      </w:r>
      <w:r>
        <w:rPr>
          <w:rFonts w:ascii="Arial" w:hAnsi="Arial" w:cs="Arial"/>
          <w:b/>
          <w:bCs/>
          <w:sz w:val="20"/>
          <w:szCs w:val="20"/>
          <w:u w:val="single"/>
        </w:rPr>
        <w:t>社区减</w:t>
      </w:r>
      <w:r w:rsidR="008A5C5A">
        <w:rPr>
          <w:rFonts w:ascii="Arial" w:hAnsi="Arial" w:cs="Arial" w:hint="eastAsia"/>
          <w:b/>
          <w:bCs/>
          <w:sz w:val="20"/>
          <w:szCs w:val="20"/>
          <w:u w:val="single"/>
        </w:rPr>
        <w:t>钠</w:t>
      </w:r>
      <w:r>
        <w:rPr>
          <w:rFonts w:ascii="Arial" w:hAnsi="Arial" w:cs="Arial"/>
          <w:b/>
          <w:bCs/>
          <w:sz w:val="20"/>
          <w:szCs w:val="20"/>
          <w:u w:val="single"/>
        </w:rPr>
        <w:t>项目招标</w:t>
      </w:r>
      <w:r w:rsidR="008A5C5A">
        <w:rPr>
          <w:rFonts w:ascii="Arial" w:hAnsi="Arial" w:cs="Arial" w:hint="eastAsia"/>
          <w:b/>
          <w:bCs/>
          <w:sz w:val="20"/>
          <w:szCs w:val="20"/>
          <w:u w:val="single"/>
        </w:rPr>
        <w:t>通知</w:t>
      </w:r>
      <w:r>
        <w:rPr>
          <w:rFonts w:ascii="Arial" w:hAnsi="Arial" w:cs="Arial"/>
          <w:b/>
          <w:bCs/>
          <w:sz w:val="20"/>
          <w:szCs w:val="20"/>
          <w:u w:val="single"/>
        </w:rPr>
        <w:br/>
      </w:r>
      <w:r w:rsidR="00971964">
        <w:rPr>
          <w:rFonts w:ascii="Arial" w:hAnsi="Arial" w:cs="Arial" w:hint="eastAsia"/>
          <w:sz w:val="20"/>
          <w:szCs w:val="20"/>
        </w:rPr>
        <w:t xml:space="preserve">        </w:t>
      </w:r>
      <w:r w:rsidR="008A5C5A">
        <w:rPr>
          <w:rFonts w:ascii="Arial" w:hAnsi="Arial" w:cs="Arial" w:hint="eastAsia"/>
          <w:sz w:val="20"/>
          <w:szCs w:val="20"/>
        </w:rPr>
        <w:t>周一</w:t>
      </w:r>
      <w:r w:rsidR="008A5C5A">
        <w:rPr>
          <w:rFonts w:ascii="Arial" w:hAnsi="Arial" w:cs="Arial"/>
          <w:sz w:val="20"/>
          <w:szCs w:val="20"/>
        </w:rPr>
        <w:t>，美国疾病预防控制中心发布了项目招标通知</w:t>
      </w:r>
      <w:r>
        <w:rPr>
          <w:rFonts w:ascii="Arial" w:hAnsi="Arial" w:cs="Arial"/>
          <w:sz w:val="20"/>
          <w:szCs w:val="20"/>
        </w:rPr>
        <w:t>Funding Opportunity Announcement (FOA) DP16-1607</w:t>
      </w:r>
      <w:r w:rsidR="008A5C5A">
        <w:rPr>
          <w:rFonts w:ascii="Arial" w:hAnsi="Arial" w:cs="Arial" w:hint="eastAsia"/>
          <w:sz w:val="20"/>
          <w:szCs w:val="20"/>
        </w:rPr>
        <w:t>：社区</w:t>
      </w:r>
      <w:r w:rsidR="008A5C5A">
        <w:rPr>
          <w:rFonts w:ascii="Arial" w:hAnsi="Arial" w:cs="Arial"/>
          <w:sz w:val="20"/>
          <w:szCs w:val="20"/>
        </w:rPr>
        <w:t>减钠项目。</w:t>
      </w:r>
      <w:r w:rsidR="008A5C5A">
        <w:rPr>
          <w:rFonts w:ascii="Arial" w:hAnsi="Arial" w:cs="Arial" w:hint="eastAsia"/>
          <w:sz w:val="20"/>
          <w:szCs w:val="20"/>
        </w:rPr>
        <w:t>通过</w:t>
      </w:r>
      <w:r w:rsidR="008A5C5A">
        <w:rPr>
          <w:rFonts w:ascii="Arial" w:hAnsi="Arial" w:cs="Arial"/>
          <w:sz w:val="20"/>
          <w:szCs w:val="20"/>
        </w:rPr>
        <w:t>这个项目，美国疾病预防控制中心计划</w:t>
      </w:r>
      <w:r w:rsidR="008A5C5A">
        <w:rPr>
          <w:rFonts w:ascii="Arial" w:hAnsi="Arial" w:cs="Arial" w:hint="eastAsia"/>
          <w:sz w:val="20"/>
          <w:szCs w:val="20"/>
        </w:rPr>
        <w:t>在</w:t>
      </w:r>
      <w:r w:rsidR="008A5C5A">
        <w:rPr>
          <w:rFonts w:ascii="Arial" w:hAnsi="Arial" w:cs="Arial"/>
          <w:sz w:val="20"/>
          <w:szCs w:val="20"/>
        </w:rPr>
        <w:t>5</w:t>
      </w:r>
      <w:r w:rsidR="008A5C5A">
        <w:rPr>
          <w:rFonts w:ascii="Arial" w:hAnsi="Arial" w:cs="Arial"/>
          <w:sz w:val="20"/>
          <w:szCs w:val="20"/>
        </w:rPr>
        <w:t>年</w:t>
      </w:r>
      <w:r w:rsidR="008A5C5A">
        <w:rPr>
          <w:rFonts w:ascii="Arial" w:hAnsi="Arial" w:cs="Arial" w:hint="eastAsia"/>
          <w:sz w:val="20"/>
          <w:szCs w:val="20"/>
        </w:rPr>
        <w:t>投入</w:t>
      </w:r>
      <w:r w:rsidR="008A5C5A">
        <w:rPr>
          <w:rFonts w:ascii="Arial" w:hAnsi="Arial" w:cs="Arial"/>
          <w:sz w:val="20"/>
          <w:szCs w:val="20"/>
        </w:rPr>
        <w:t>1500</w:t>
      </w:r>
      <w:r w:rsidR="008A5C5A">
        <w:rPr>
          <w:rFonts w:ascii="Arial" w:hAnsi="Arial" w:cs="Arial"/>
          <w:sz w:val="20"/>
          <w:szCs w:val="20"/>
        </w:rPr>
        <w:t>万美元</w:t>
      </w:r>
      <w:r w:rsidR="008A5C5A">
        <w:rPr>
          <w:rFonts w:ascii="Arial" w:hAnsi="Arial" w:cs="Arial" w:hint="eastAsia"/>
          <w:sz w:val="20"/>
          <w:szCs w:val="20"/>
        </w:rPr>
        <w:t>实施</w:t>
      </w:r>
      <w:r w:rsidR="008A5C5A">
        <w:rPr>
          <w:rFonts w:ascii="Arial" w:hAnsi="Arial" w:cs="Arial"/>
          <w:sz w:val="20"/>
          <w:szCs w:val="20"/>
        </w:rPr>
        <w:t>和评估</w:t>
      </w:r>
      <w:r w:rsidR="008A5C5A">
        <w:rPr>
          <w:rFonts w:ascii="Arial" w:hAnsi="Arial" w:cs="Arial" w:hint="eastAsia"/>
          <w:sz w:val="20"/>
          <w:szCs w:val="20"/>
        </w:rPr>
        <w:t>有可实施性</w:t>
      </w:r>
      <w:r w:rsidR="008A5C5A">
        <w:rPr>
          <w:rFonts w:ascii="Arial" w:hAnsi="Arial" w:cs="Arial"/>
          <w:sz w:val="20"/>
          <w:szCs w:val="20"/>
        </w:rPr>
        <w:t>的广泛覆盖并可持续的</w:t>
      </w:r>
      <w:r w:rsidR="00393AC7">
        <w:rPr>
          <w:rFonts w:ascii="Arial" w:hAnsi="Arial" w:cs="Arial" w:hint="eastAsia"/>
          <w:sz w:val="20"/>
          <w:szCs w:val="20"/>
        </w:rPr>
        <w:t>减盐</w:t>
      </w:r>
      <w:r w:rsidR="00393AC7">
        <w:rPr>
          <w:rFonts w:ascii="Arial" w:hAnsi="Arial" w:cs="Arial"/>
          <w:sz w:val="20"/>
          <w:szCs w:val="20"/>
        </w:rPr>
        <w:t>策略，</w:t>
      </w:r>
      <w:r w:rsidR="00393AC7">
        <w:rPr>
          <w:rFonts w:ascii="Arial" w:hAnsi="Arial" w:cs="Arial" w:hint="eastAsia"/>
          <w:sz w:val="20"/>
          <w:szCs w:val="20"/>
        </w:rPr>
        <w:t>鼓励</w:t>
      </w:r>
      <w:r w:rsidR="00393AC7">
        <w:rPr>
          <w:rFonts w:ascii="Arial" w:hAnsi="Arial" w:cs="Arial"/>
          <w:sz w:val="20"/>
          <w:szCs w:val="20"/>
        </w:rPr>
        <w:t>食品相关行业</w:t>
      </w:r>
      <w:r w:rsidR="00393AC7">
        <w:rPr>
          <w:rFonts w:ascii="Arial" w:hAnsi="Arial" w:cs="Arial" w:hint="eastAsia"/>
          <w:sz w:val="20"/>
          <w:szCs w:val="20"/>
        </w:rPr>
        <w:t>降低</w:t>
      </w:r>
      <w:r w:rsidR="00393AC7">
        <w:rPr>
          <w:rFonts w:ascii="Arial" w:hAnsi="Arial" w:cs="Arial"/>
          <w:sz w:val="20"/>
          <w:szCs w:val="20"/>
        </w:rPr>
        <w:t>加工食品和餐饮业食品</w:t>
      </w:r>
      <w:r w:rsidR="00393AC7">
        <w:rPr>
          <w:rFonts w:ascii="Arial" w:hAnsi="Arial" w:cs="Arial" w:hint="eastAsia"/>
          <w:sz w:val="20"/>
          <w:szCs w:val="20"/>
        </w:rPr>
        <w:t>的</w:t>
      </w:r>
      <w:r w:rsidR="00393AC7">
        <w:rPr>
          <w:rFonts w:ascii="Arial" w:hAnsi="Arial" w:cs="Arial"/>
          <w:sz w:val="20"/>
          <w:szCs w:val="20"/>
        </w:rPr>
        <w:t>钠含量</w:t>
      </w:r>
      <w:r w:rsidR="00393AC7">
        <w:rPr>
          <w:rFonts w:ascii="Arial" w:hAnsi="Arial" w:cs="Arial" w:hint="eastAsia"/>
          <w:sz w:val="20"/>
          <w:szCs w:val="20"/>
        </w:rPr>
        <w:t>。项目</w:t>
      </w:r>
      <w:r w:rsidR="00393AC7">
        <w:rPr>
          <w:rFonts w:ascii="Arial" w:hAnsi="Arial" w:cs="Arial"/>
          <w:sz w:val="20"/>
          <w:szCs w:val="20"/>
        </w:rPr>
        <w:t>还期望提高：</w:t>
      </w:r>
    </w:p>
    <w:p w:rsidR="002504BC" w:rsidRDefault="00027324" w:rsidP="00027324">
      <w:pPr>
        <w:pStyle w:val="ListParagraph"/>
        <w:numPr>
          <w:ilvl w:val="0"/>
          <w:numId w:val="8"/>
        </w:numPr>
        <w:autoSpaceDE w:val="0"/>
        <w:autoSpaceDN w:val="0"/>
        <w:rPr>
          <w:rFonts w:ascii="Arial" w:hAnsi="Arial" w:cs="Arial"/>
          <w:sz w:val="20"/>
          <w:szCs w:val="20"/>
          <w:lang w:eastAsia="zh-CN"/>
        </w:rPr>
      </w:pPr>
      <w:r>
        <w:rPr>
          <w:rFonts w:ascii="Arial" w:hAnsi="Arial" w:cs="Arial" w:hint="eastAsia"/>
          <w:sz w:val="20"/>
          <w:szCs w:val="20"/>
          <w:lang w:eastAsia="zh-CN"/>
        </w:rPr>
        <w:t>实施相关食品服务</w:t>
      </w:r>
      <w:r w:rsidR="003812BF">
        <w:rPr>
          <w:rFonts w:ascii="Arial" w:hAnsi="Arial" w:cs="Arial" w:hint="eastAsia"/>
          <w:sz w:val="20"/>
          <w:szCs w:val="20"/>
          <w:lang w:eastAsia="zh-CN"/>
        </w:rPr>
        <w:t>指导方案或</w:t>
      </w:r>
      <w:r w:rsidR="003812BF">
        <w:rPr>
          <w:rFonts w:ascii="Arial" w:hAnsi="Arial" w:cs="Arial"/>
          <w:sz w:val="20"/>
          <w:szCs w:val="20"/>
          <w:lang w:eastAsia="zh-CN"/>
        </w:rPr>
        <w:t>标准，通过钠和食物准备行为来降低饭菜和</w:t>
      </w:r>
      <w:r w:rsidR="003812BF">
        <w:rPr>
          <w:rFonts w:ascii="Arial" w:hAnsi="Arial" w:cs="Arial"/>
          <w:sz w:val="20"/>
          <w:szCs w:val="20"/>
          <w:lang w:eastAsia="zh-CN"/>
        </w:rPr>
        <w:t>/</w:t>
      </w:r>
      <w:r w:rsidR="003812BF">
        <w:rPr>
          <w:rFonts w:ascii="Arial" w:hAnsi="Arial" w:cs="Arial"/>
          <w:sz w:val="20"/>
          <w:szCs w:val="20"/>
          <w:lang w:eastAsia="zh-CN"/>
        </w:rPr>
        <w:t>或</w:t>
      </w:r>
      <w:r w:rsidR="003812BF">
        <w:rPr>
          <w:rFonts w:ascii="Arial" w:hAnsi="Arial" w:cs="Arial" w:hint="eastAsia"/>
          <w:sz w:val="20"/>
          <w:szCs w:val="20"/>
          <w:lang w:eastAsia="zh-CN"/>
        </w:rPr>
        <w:t>菜品</w:t>
      </w:r>
      <w:r w:rsidR="003812BF">
        <w:rPr>
          <w:rFonts w:ascii="Arial" w:hAnsi="Arial" w:cs="Arial"/>
          <w:sz w:val="20"/>
          <w:szCs w:val="20"/>
          <w:lang w:eastAsia="zh-CN"/>
        </w:rPr>
        <w:t>中的钠含量，以及环境政策</w:t>
      </w:r>
      <w:r w:rsidR="003812BF">
        <w:rPr>
          <w:rFonts w:ascii="Arial" w:hAnsi="Arial" w:cs="Arial"/>
          <w:sz w:val="20"/>
          <w:szCs w:val="20"/>
          <w:lang w:eastAsia="zh-CN"/>
        </w:rPr>
        <w:t>/</w:t>
      </w:r>
      <w:r w:rsidR="003812BF">
        <w:rPr>
          <w:rFonts w:ascii="Arial" w:hAnsi="Arial" w:cs="Arial"/>
          <w:sz w:val="20"/>
          <w:szCs w:val="20"/>
          <w:lang w:eastAsia="zh-CN"/>
        </w:rPr>
        <w:t>行为经济学</w:t>
      </w:r>
      <w:r w:rsidR="003812BF">
        <w:rPr>
          <w:rFonts w:ascii="Arial" w:hAnsi="Arial" w:cs="Arial" w:hint="eastAsia"/>
          <w:sz w:val="20"/>
          <w:szCs w:val="20"/>
          <w:lang w:eastAsia="zh-CN"/>
        </w:rPr>
        <w:t>方法</w:t>
      </w:r>
      <w:r w:rsidR="003812BF">
        <w:rPr>
          <w:rFonts w:ascii="Arial" w:hAnsi="Arial" w:cs="Arial"/>
          <w:sz w:val="20"/>
          <w:szCs w:val="20"/>
          <w:lang w:eastAsia="zh-CN"/>
        </w:rPr>
        <w:t>；</w:t>
      </w:r>
    </w:p>
    <w:p w:rsidR="003812BF" w:rsidRDefault="003812BF" w:rsidP="00027324">
      <w:pPr>
        <w:pStyle w:val="ListParagraph"/>
        <w:numPr>
          <w:ilvl w:val="0"/>
          <w:numId w:val="8"/>
        </w:numPr>
        <w:autoSpaceDE w:val="0"/>
        <w:autoSpaceDN w:val="0"/>
        <w:rPr>
          <w:rFonts w:ascii="Arial" w:hAnsi="Arial" w:cs="Arial"/>
          <w:sz w:val="20"/>
          <w:szCs w:val="20"/>
          <w:lang w:eastAsia="zh-CN"/>
        </w:rPr>
      </w:pPr>
      <w:r>
        <w:rPr>
          <w:rFonts w:ascii="Arial" w:hAnsi="Arial" w:cs="Arial" w:hint="eastAsia"/>
          <w:sz w:val="20"/>
          <w:szCs w:val="20"/>
          <w:lang w:eastAsia="zh-CN"/>
        </w:rPr>
        <w:t>通过</w:t>
      </w:r>
      <w:r>
        <w:rPr>
          <w:rFonts w:ascii="Arial" w:hAnsi="Arial" w:cs="Arial"/>
          <w:sz w:val="20"/>
          <w:szCs w:val="20"/>
          <w:lang w:eastAsia="zh-CN"/>
        </w:rPr>
        <w:t>采购降低购买食品中的钠含量</w:t>
      </w:r>
      <w:r>
        <w:rPr>
          <w:rFonts w:ascii="Arial" w:hAnsi="Arial" w:cs="Arial" w:hint="eastAsia"/>
          <w:sz w:val="20"/>
          <w:szCs w:val="20"/>
          <w:lang w:eastAsia="zh-CN"/>
        </w:rPr>
        <w:t>；</w:t>
      </w:r>
    </w:p>
    <w:p w:rsidR="003812BF" w:rsidRDefault="003812BF" w:rsidP="00027324">
      <w:pPr>
        <w:pStyle w:val="ListParagraph"/>
        <w:numPr>
          <w:ilvl w:val="0"/>
          <w:numId w:val="8"/>
        </w:numPr>
        <w:autoSpaceDE w:val="0"/>
        <w:autoSpaceDN w:val="0"/>
        <w:rPr>
          <w:rFonts w:ascii="Arial" w:hAnsi="Arial" w:cs="Arial"/>
          <w:sz w:val="20"/>
          <w:szCs w:val="20"/>
          <w:lang w:eastAsia="zh-CN"/>
        </w:rPr>
      </w:pPr>
      <w:r>
        <w:rPr>
          <w:rFonts w:ascii="Arial" w:hAnsi="Arial" w:cs="Arial" w:hint="eastAsia"/>
          <w:sz w:val="20"/>
          <w:szCs w:val="20"/>
          <w:lang w:eastAsia="zh-CN"/>
        </w:rPr>
        <w:t>低钠食品</w:t>
      </w:r>
      <w:r>
        <w:rPr>
          <w:rFonts w:ascii="Arial" w:hAnsi="Arial" w:cs="Arial"/>
          <w:sz w:val="20"/>
          <w:szCs w:val="20"/>
          <w:lang w:eastAsia="zh-CN"/>
        </w:rPr>
        <w:t>的</w:t>
      </w:r>
      <w:r>
        <w:rPr>
          <w:rFonts w:ascii="Arial" w:hAnsi="Arial" w:cs="Arial" w:hint="eastAsia"/>
          <w:sz w:val="20"/>
          <w:szCs w:val="20"/>
          <w:lang w:eastAsia="zh-CN"/>
        </w:rPr>
        <w:t>可及性；</w:t>
      </w:r>
    </w:p>
    <w:p w:rsidR="003812BF" w:rsidRDefault="003812BF" w:rsidP="00027324">
      <w:pPr>
        <w:pStyle w:val="ListParagraph"/>
        <w:numPr>
          <w:ilvl w:val="0"/>
          <w:numId w:val="8"/>
        </w:numPr>
        <w:autoSpaceDE w:val="0"/>
        <w:autoSpaceDN w:val="0"/>
        <w:rPr>
          <w:rFonts w:ascii="Arial" w:hAnsi="Arial" w:cs="Arial"/>
          <w:sz w:val="20"/>
          <w:szCs w:val="20"/>
          <w:lang w:eastAsia="zh-CN"/>
        </w:rPr>
      </w:pPr>
      <w:r>
        <w:rPr>
          <w:rFonts w:ascii="Arial" w:hAnsi="Arial" w:cs="Arial" w:hint="eastAsia"/>
          <w:sz w:val="20"/>
          <w:szCs w:val="20"/>
          <w:lang w:eastAsia="zh-CN"/>
        </w:rPr>
        <w:t>顾客或</w:t>
      </w:r>
      <w:r>
        <w:rPr>
          <w:rFonts w:ascii="Arial" w:hAnsi="Arial" w:cs="Arial"/>
          <w:sz w:val="20"/>
          <w:szCs w:val="20"/>
          <w:lang w:eastAsia="zh-CN"/>
        </w:rPr>
        <w:t>大型食品服务</w:t>
      </w:r>
      <w:r>
        <w:rPr>
          <w:rFonts w:ascii="Arial" w:hAnsi="Arial" w:cs="Arial" w:hint="eastAsia"/>
          <w:sz w:val="20"/>
          <w:szCs w:val="20"/>
          <w:lang w:eastAsia="zh-CN"/>
        </w:rPr>
        <w:t>商</w:t>
      </w:r>
      <w:r>
        <w:rPr>
          <w:rFonts w:ascii="Arial" w:hAnsi="Arial" w:cs="Arial"/>
          <w:sz w:val="20"/>
          <w:szCs w:val="20"/>
          <w:lang w:eastAsia="zh-CN"/>
        </w:rPr>
        <w:t>购买或</w:t>
      </w:r>
      <w:r>
        <w:rPr>
          <w:rFonts w:ascii="Arial" w:hAnsi="Arial" w:cs="Arial" w:hint="eastAsia"/>
          <w:sz w:val="20"/>
          <w:szCs w:val="20"/>
          <w:lang w:eastAsia="zh-CN"/>
        </w:rPr>
        <w:t>选择</w:t>
      </w:r>
      <w:r>
        <w:rPr>
          <w:rFonts w:ascii="Arial" w:hAnsi="Arial" w:cs="Arial"/>
          <w:sz w:val="20"/>
          <w:szCs w:val="20"/>
          <w:lang w:eastAsia="zh-CN"/>
        </w:rPr>
        <w:t>低钠食品和</w:t>
      </w:r>
      <w:r>
        <w:rPr>
          <w:rFonts w:ascii="Arial" w:hAnsi="Arial" w:cs="Arial"/>
          <w:sz w:val="20"/>
          <w:szCs w:val="20"/>
          <w:lang w:eastAsia="zh-CN"/>
        </w:rPr>
        <w:t>/</w:t>
      </w:r>
      <w:r>
        <w:rPr>
          <w:rFonts w:ascii="Arial" w:hAnsi="Arial" w:cs="Arial"/>
          <w:sz w:val="20"/>
          <w:szCs w:val="20"/>
          <w:lang w:eastAsia="zh-CN"/>
        </w:rPr>
        <w:t>或</w:t>
      </w:r>
      <w:r w:rsidR="00971964">
        <w:rPr>
          <w:rFonts w:ascii="Arial" w:hAnsi="Arial" w:cs="Arial" w:hint="eastAsia"/>
          <w:sz w:val="20"/>
          <w:szCs w:val="20"/>
          <w:lang w:eastAsia="zh-CN"/>
        </w:rPr>
        <w:t>原料</w:t>
      </w:r>
      <w:r w:rsidR="00971964">
        <w:rPr>
          <w:rFonts w:ascii="Arial" w:hAnsi="Arial" w:cs="Arial"/>
          <w:sz w:val="20"/>
          <w:szCs w:val="20"/>
          <w:lang w:eastAsia="zh-CN"/>
        </w:rPr>
        <w:t>。</w:t>
      </w:r>
    </w:p>
    <w:p w:rsidR="00971964" w:rsidRPr="00971964" w:rsidRDefault="00971964" w:rsidP="00971964">
      <w:pPr>
        <w:autoSpaceDE w:val="0"/>
        <w:autoSpaceDN w:val="0"/>
        <w:rPr>
          <w:rFonts w:ascii="Arial" w:hAnsi="Arial" w:cs="Arial"/>
          <w:sz w:val="20"/>
          <w:szCs w:val="20"/>
        </w:rPr>
      </w:pPr>
    </w:p>
    <w:p w:rsidR="002504BC" w:rsidRDefault="002504BC" w:rsidP="002504BC">
      <w:pPr>
        <w:numPr>
          <w:ilvl w:val="0"/>
          <w:numId w:val="6"/>
        </w:numPr>
        <w:spacing w:before="100" w:beforeAutospacing="1" w:after="100" w:afterAutospacing="1"/>
        <w:ind w:left="840" w:right="120"/>
        <w:rPr>
          <w:rFonts w:ascii="Arial" w:hAnsi="Arial" w:cs="Arial"/>
          <w:sz w:val="20"/>
          <w:szCs w:val="20"/>
        </w:rPr>
      </w:pPr>
      <w:r>
        <w:rPr>
          <w:rFonts w:ascii="Arial" w:hAnsi="Arial" w:cs="Arial"/>
          <w:sz w:val="20"/>
          <w:szCs w:val="20"/>
        </w:rPr>
        <w:t>Purchase or selection of lower sodium food products and/or ingredients by either consumers or large food service operators.</w:t>
      </w:r>
    </w:p>
    <w:p w:rsidR="002504BC" w:rsidRDefault="00971964" w:rsidP="00971964">
      <w:pPr>
        <w:autoSpaceDE w:val="0"/>
        <w:autoSpaceDN w:val="0"/>
        <w:rPr>
          <w:rFonts w:ascii="Arial" w:hAnsi="Arial" w:cs="Arial"/>
          <w:sz w:val="20"/>
          <w:szCs w:val="20"/>
        </w:rPr>
      </w:pPr>
      <w:r>
        <w:rPr>
          <w:rFonts w:ascii="Arial" w:hAnsi="Arial" w:cs="Arial"/>
          <w:sz w:val="20"/>
          <w:szCs w:val="20"/>
        </w:rPr>
        <w:t xml:space="preserve">        </w:t>
      </w:r>
      <w:r>
        <w:rPr>
          <w:rFonts w:ascii="Arial" w:hAnsi="Arial" w:cs="Arial" w:hint="eastAsia"/>
          <w:sz w:val="20"/>
          <w:szCs w:val="20"/>
        </w:rPr>
        <w:t>预计</w:t>
      </w:r>
      <w:r>
        <w:rPr>
          <w:rFonts w:ascii="Arial" w:hAnsi="Arial" w:cs="Arial" w:hint="eastAsia"/>
          <w:sz w:val="20"/>
          <w:szCs w:val="20"/>
        </w:rPr>
        <w:t>5</w:t>
      </w:r>
      <w:r>
        <w:rPr>
          <w:rFonts w:ascii="Arial" w:hAnsi="Arial" w:cs="Arial"/>
          <w:sz w:val="20"/>
          <w:szCs w:val="20"/>
        </w:rPr>
        <w:t>年项目开始时间为</w:t>
      </w:r>
      <w:r>
        <w:rPr>
          <w:rFonts w:ascii="Arial" w:hAnsi="Arial" w:cs="Arial"/>
          <w:sz w:val="20"/>
          <w:szCs w:val="20"/>
        </w:rPr>
        <w:t>2016</w:t>
      </w:r>
      <w:r>
        <w:rPr>
          <w:rFonts w:ascii="Arial" w:hAnsi="Arial" w:cs="Arial"/>
          <w:sz w:val="20"/>
          <w:szCs w:val="20"/>
        </w:rPr>
        <w:t>年</w:t>
      </w:r>
      <w:r>
        <w:rPr>
          <w:rFonts w:ascii="Arial" w:hAnsi="Arial" w:cs="Arial"/>
          <w:sz w:val="20"/>
          <w:szCs w:val="20"/>
        </w:rPr>
        <w:t>9</w:t>
      </w:r>
      <w:r>
        <w:rPr>
          <w:rFonts w:ascii="Arial" w:hAnsi="Arial" w:cs="Arial"/>
          <w:sz w:val="20"/>
          <w:szCs w:val="20"/>
        </w:rPr>
        <w:t>月</w:t>
      </w:r>
      <w:r>
        <w:rPr>
          <w:rFonts w:ascii="Arial" w:hAnsi="Arial" w:cs="Arial"/>
          <w:sz w:val="20"/>
          <w:szCs w:val="20"/>
        </w:rPr>
        <w:t>30</w:t>
      </w:r>
      <w:r>
        <w:rPr>
          <w:rFonts w:ascii="Arial" w:hAnsi="Arial" w:cs="Arial"/>
          <w:sz w:val="20"/>
          <w:szCs w:val="20"/>
        </w:rPr>
        <w:t>日，</w:t>
      </w:r>
      <w:r>
        <w:rPr>
          <w:rFonts w:ascii="Arial" w:hAnsi="Arial" w:cs="Arial" w:hint="eastAsia"/>
          <w:sz w:val="20"/>
          <w:szCs w:val="20"/>
        </w:rPr>
        <w:t>申请</w:t>
      </w:r>
      <w:r>
        <w:rPr>
          <w:rFonts w:ascii="Arial" w:hAnsi="Arial" w:cs="Arial"/>
          <w:sz w:val="20"/>
          <w:szCs w:val="20"/>
        </w:rPr>
        <w:t>截止时间为</w:t>
      </w:r>
      <w:r>
        <w:rPr>
          <w:rFonts w:ascii="Arial" w:hAnsi="Arial" w:cs="Arial"/>
          <w:sz w:val="20"/>
          <w:szCs w:val="20"/>
        </w:rPr>
        <w:t>2016</w:t>
      </w:r>
      <w:r>
        <w:rPr>
          <w:rFonts w:ascii="Arial" w:hAnsi="Arial" w:cs="Arial"/>
          <w:sz w:val="20"/>
          <w:szCs w:val="20"/>
        </w:rPr>
        <w:t>年</w:t>
      </w:r>
      <w:r>
        <w:rPr>
          <w:rFonts w:ascii="Arial" w:hAnsi="Arial" w:cs="Arial"/>
          <w:sz w:val="20"/>
          <w:szCs w:val="20"/>
        </w:rPr>
        <w:t>3</w:t>
      </w:r>
      <w:r>
        <w:rPr>
          <w:rFonts w:ascii="Arial" w:hAnsi="Arial" w:cs="Arial"/>
          <w:sz w:val="20"/>
          <w:szCs w:val="20"/>
        </w:rPr>
        <w:t>月</w:t>
      </w:r>
      <w:r>
        <w:rPr>
          <w:rFonts w:ascii="Arial" w:hAnsi="Arial" w:cs="Arial"/>
          <w:sz w:val="20"/>
          <w:szCs w:val="20"/>
        </w:rPr>
        <w:t>15</w:t>
      </w:r>
      <w:r>
        <w:rPr>
          <w:rFonts w:ascii="Arial" w:hAnsi="Arial" w:cs="Arial"/>
          <w:sz w:val="20"/>
          <w:szCs w:val="20"/>
        </w:rPr>
        <w:t>日。申请</w:t>
      </w:r>
      <w:r>
        <w:rPr>
          <w:rFonts w:ascii="Arial" w:hAnsi="Arial" w:cs="Arial" w:hint="eastAsia"/>
          <w:sz w:val="20"/>
          <w:szCs w:val="20"/>
        </w:rPr>
        <w:t>者需要</w:t>
      </w:r>
      <w:r>
        <w:rPr>
          <w:rFonts w:ascii="Arial" w:hAnsi="Arial" w:cs="Arial"/>
          <w:sz w:val="20"/>
          <w:szCs w:val="20"/>
        </w:rPr>
        <w:t>证明有能力</w:t>
      </w:r>
      <w:r>
        <w:rPr>
          <w:rFonts w:ascii="Arial" w:hAnsi="Arial" w:cs="Arial" w:hint="eastAsia"/>
          <w:sz w:val="20"/>
          <w:szCs w:val="20"/>
        </w:rPr>
        <w:t>开发和</w:t>
      </w:r>
      <w:r>
        <w:rPr>
          <w:rFonts w:ascii="Arial" w:hAnsi="Arial" w:cs="Arial"/>
          <w:sz w:val="20"/>
          <w:szCs w:val="20"/>
        </w:rPr>
        <w:t>实施公共卫生策略来提高</w:t>
      </w:r>
      <w:r>
        <w:rPr>
          <w:rFonts w:ascii="Arial" w:hAnsi="Arial" w:cs="Arial"/>
          <w:sz w:val="20"/>
          <w:szCs w:val="20"/>
        </w:rPr>
        <w:t>50</w:t>
      </w:r>
      <w:r>
        <w:rPr>
          <w:rFonts w:ascii="Arial" w:hAnsi="Arial" w:cs="Arial"/>
          <w:sz w:val="20"/>
          <w:szCs w:val="20"/>
        </w:rPr>
        <w:t>万</w:t>
      </w:r>
      <w:r>
        <w:rPr>
          <w:rFonts w:ascii="Arial" w:hAnsi="Arial" w:cs="Arial" w:hint="eastAsia"/>
          <w:sz w:val="20"/>
          <w:szCs w:val="20"/>
        </w:rPr>
        <w:t>人的</w:t>
      </w:r>
      <w:r>
        <w:rPr>
          <w:rFonts w:ascii="Arial" w:hAnsi="Arial" w:cs="Arial"/>
          <w:sz w:val="20"/>
          <w:szCs w:val="20"/>
        </w:rPr>
        <w:t>营养</w:t>
      </w:r>
      <w:r>
        <w:rPr>
          <w:rFonts w:ascii="Arial" w:hAnsi="Arial" w:cs="Arial" w:hint="eastAsia"/>
          <w:sz w:val="20"/>
          <w:szCs w:val="20"/>
        </w:rPr>
        <w:t>和减钠</w:t>
      </w:r>
      <w:r>
        <w:rPr>
          <w:rFonts w:ascii="Arial" w:hAnsi="Arial" w:cs="Arial"/>
          <w:sz w:val="20"/>
          <w:szCs w:val="20"/>
        </w:rPr>
        <w:t>能力。更多</w:t>
      </w:r>
      <w:r>
        <w:rPr>
          <w:rFonts w:ascii="Arial" w:hAnsi="Arial" w:cs="Arial" w:hint="eastAsia"/>
          <w:sz w:val="20"/>
          <w:szCs w:val="20"/>
        </w:rPr>
        <w:t>的</w:t>
      </w:r>
      <w:r>
        <w:rPr>
          <w:rFonts w:ascii="Arial" w:hAnsi="Arial" w:cs="Arial"/>
          <w:sz w:val="20"/>
          <w:szCs w:val="20"/>
        </w:rPr>
        <w:t>信息请见</w:t>
      </w:r>
      <w:r>
        <w:rPr>
          <w:rFonts w:ascii="Arial" w:hAnsi="Arial" w:cs="Arial" w:hint="eastAsia"/>
          <w:sz w:val="20"/>
          <w:szCs w:val="20"/>
        </w:rPr>
        <w:t>：</w:t>
      </w:r>
      <w:hyperlink r:id="rId9" w:history="1">
        <w:r w:rsidRPr="003825E6">
          <w:rPr>
            <w:rStyle w:val="Hyperlink"/>
            <w:rFonts w:ascii="Arial" w:hAnsi="Arial" w:cs="Arial"/>
            <w:sz w:val="20"/>
            <w:szCs w:val="20"/>
          </w:rPr>
          <w:t>http://www.grants.gov/web/grants/view-opportunity.html?oppId=280919</w:t>
        </w:r>
      </w:hyperlink>
      <w:r w:rsidR="002504BC">
        <w:rPr>
          <w:rFonts w:ascii="Arial" w:hAnsi="Arial" w:cs="Arial"/>
          <w:sz w:val="20"/>
          <w:szCs w:val="20"/>
        </w:rPr>
        <w:t xml:space="preserve">.  </w:t>
      </w:r>
      <w:r>
        <w:rPr>
          <w:rFonts w:ascii="Arial" w:hAnsi="Arial" w:cs="Arial" w:hint="eastAsia"/>
          <w:sz w:val="20"/>
          <w:szCs w:val="20"/>
        </w:rPr>
        <w:t>美国</w:t>
      </w:r>
      <w:r>
        <w:rPr>
          <w:rFonts w:ascii="Arial" w:hAnsi="Arial" w:cs="Arial"/>
          <w:sz w:val="20"/>
          <w:szCs w:val="20"/>
        </w:rPr>
        <w:t>疾控中心将</w:t>
      </w:r>
      <w:r>
        <w:rPr>
          <w:rFonts w:ascii="Arial" w:hAnsi="Arial" w:cs="Arial" w:hint="eastAsia"/>
          <w:sz w:val="20"/>
          <w:szCs w:val="20"/>
        </w:rPr>
        <w:t>于</w:t>
      </w:r>
      <w:r>
        <w:rPr>
          <w:rFonts w:ascii="Arial" w:hAnsi="Arial" w:cs="Arial"/>
          <w:sz w:val="20"/>
          <w:szCs w:val="20"/>
        </w:rPr>
        <w:t>2016</w:t>
      </w:r>
      <w:r>
        <w:rPr>
          <w:rFonts w:ascii="Arial" w:hAnsi="Arial" w:cs="Arial"/>
          <w:sz w:val="20"/>
          <w:szCs w:val="20"/>
        </w:rPr>
        <w:t>年</w:t>
      </w:r>
      <w:r>
        <w:rPr>
          <w:rFonts w:ascii="Arial" w:hAnsi="Arial" w:cs="Arial"/>
          <w:sz w:val="20"/>
          <w:szCs w:val="20"/>
        </w:rPr>
        <w:t>1</w:t>
      </w:r>
      <w:r>
        <w:rPr>
          <w:rFonts w:ascii="Arial" w:hAnsi="Arial" w:cs="Arial"/>
          <w:sz w:val="20"/>
          <w:szCs w:val="20"/>
        </w:rPr>
        <w:t>月</w:t>
      </w:r>
      <w:r>
        <w:rPr>
          <w:rFonts w:ascii="Arial" w:hAnsi="Arial" w:cs="Arial"/>
          <w:sz w:val="20"/>
          <w:szCs w:val="20"/>
        </w:rPr>
        <w:t>28</w:t>
      </w:r>
      <w:r>
        <w:rPr>
          <w:rFonts w:ascii="Arial" w:hAnsi="Arial" w:cs="Arial"/>
          <w:sz w:val="20"/>
          <w:szCs w:val="20"/>
        </w:rPr>
        <w:t>日</w:t>
      </w:r>
      <w:r>
        <w:rPr>
          <w:rFonts w:ascii="Arial" w:hAnsi="Arial" w:cs="Arial" w:hint="eastAsia"/>
          <w:sz w:val="20"/>
          <w:szCs w:val="20"/>
        </w:rPr>
        <w:t>东部时间</w:t>
      </w:r>
      <w:r>
        <w:rPr>
          <w:rFonts w:ascii="Arial" w:hAnsi="Arial" w:cs="Arial"/>
          <w:sz w:val="20"/>
          <w:szCs w:val="20"/>
        </w:rPr>
        <w:t>下午</w:t>
      </w:r>
      <w:r>
        <w:rPr>
          <w:rFonts w:ascii="Arial" w:hAnsi="Arial" w:cs="Arial"/>
          <w:sz w:val="20"/>
          <w:szCs w:val="20"/>
        </w:rPr>
        <w:t>3</w:t>
      </w:r>
      <w:r>
        <w:rPr>
          <w:rFonts w:ascii="Arial" w:hAnsi="Arial" w:cs="Arial"/>
          <w:sz w:val="20"/>
          <w:szCs w:val="20"/>
        </w:rPr>
        <w:t>：</w:t>
      </w:r>
      <w:r>
        <w:rPr>
          <w:rFonts w:ascii="Arial" w:hAnsi="Arial" w:cs="Arial"/>
          <w:sz w:val="20"/>
          <w:szCs w:val="20"/>
        </w:rPr>
        <w:t>30</w:t>
      </w:r>
      <w:r>
        <w:rPr>
          <w:rFonts w:ascii="Arial" w:hAnsi="Arial" w:cs="Arial"/>
          <w:sz w:val="20"/>
          <w:szCs w:val="20"/>
        </w:rPr>
        <w:t>组织电话会来回答</w:t>
      </w:r>
      <w:r>
        <w:rPr>
          <w:rFonts w:ascii="Arial" w:hAnsi="Arial" w:cs="Arial" w:hint="eastAsia"/>
          <w:sz w:val="20"/>
          <w:szCs w:val="20"/>
        </w:rPr>
        <w:t>相关</w:t>
      </w:r>
      <w:r>
        <w:rPr>
          <w:rFonts w:ascii="Arial" w:hAnsi="Arial" w:cs="Arial"/>
          <w:sz w:val="20"/>
          <w:szCs w:val="20"/>
        </w:rPr>
        <w:t>问题</w:t>
      </w:r>
      <w:r>
        <w:rPr>
          <w:rFonts w:ascii="Arial" w:hAnsi="Arial" w:cs="Arial" w:hint="eastAsia"/>
          <w:sz w:val="20"/>
          <w:szCs w:val="20"/>
        </w:rPr>
        <w:t>：收费电话</w:t>
      </w:r>
      <w:r w:rsidR="002504BC">
        <w:rPr>
          <w:rFonts w:ascii="Arial" w:hAnsi="Arial" w:cs="Arial"/>
          <w:sz w:val="20"/>
          <w:szCs w:val="20"/>
        </w:rPr>
        <w:t xml:space="preserve">: </w:t>
      </w:r>
      <w:r w:rsidR="002504BC">
        <w:rPr>
          <w:rStyle w:val="baec5a81-e4d6-4674-97f3-e9220f0136c1"/>
          <w:rFonts w:ascii="Arial" w:hAnsi="Arial" w:cs="Arial"/>
          <w:sz w:val="20"/>
          <w:szCs w:val="20"/>
        </w:rPr>
        <w:t>1-210-234-0044</w:t>
      </w:r>
      <w:r w:rsidR="002504BC">
        <w:rPr>
          <w:rFonts w:ascii="Arial" w:hAnsi="Arial" w:cs="Arial"/>
          <w:sz w:val="20"/>
          <w:szCs w:val="20"/>
        </w:rPr>
        <w:t xml:space="preserve">; </w:t>
      </w:r>
      <w:r>
        <w:rPr>
          <w:rFonts w:ascii="Arial" w:hAnsi="Arial" w:cs="Arial" w:hint="eastAsia"/>
          <w:sz w:val="20"/>
          <w:szCs w:val="20"/>
        </w:rPr>
        <w:t>免费电话</w:t>
      </w:r>
      <w:r w:rsidR="002504BC">
        <w:rPr>
          <w:rFonts w:ascii="Arial" w:hAnsi="Arial" w:cs="Arial"/>
          <w:sz w:val="20"/>
          <w:szCs w:val="20"/>
        </w:rPr>
        <w:t xml:space="preserve">: </w:t>
      </w:r>
      <w:r w:rsidR="002504BC">
        <w:rPr>
          <w:rStyle w:val="baec5a81-e4d6-4674-97f3-e9220f0136c1"/>
          <w:rFonts w:ascii="Arial" w:hAnsi="Arial" w:cs="Arial"/>
          <w:sz w:val="20"/>
          <w:szCs w:val="20"/>
        </w:rPr>
        <w:t>888-810-4938</w:t>
      </w:r>
      <w:r w:rsidR="002504BC">
        <w:rPr>
          <w:rFonts w:ascii="Arial" w:hAnsi="Arial" w:cs="Arial"/>
          <w:sz w:val="20"/>
          <w:szCs w:val="20"/>
        </w:rPr>
        <w:t xml:space="preserve">; </w:t>
      </w:r>
      <w:r>
        <w:rPr>
          <w:rFonts w:ascii="Arial" w:hAnsi="Arial" w:cs="Arial" w:hint="eastAsia"/>
          <w:sz w:val="20"/>
          <w:szCs w:val="20"/>
        </w:rPr>
        <w:t>参加验证码</w:t>
      </w:r>
      <w:r w:rsidR="002504BC">
        <w:rPr>
          <w:rFonts w:ascii="Arial" w:hAnsi="Arial" w:cs="Arial"/>
          <w:sz w:val="20"/>
          <w:szCs w:val="20"/>
        </w:rPr>
        <w:t>: 8344668.</w:t>
      </w:r>
    </w:p>
    <w:p w:rsidR="00971964" w:rsidRDefault="00971964" w:rsidP="00F14750">
      <w:pPr>
        <w:adjustRightInd w:val="0"/>
        <w:snapToGrid w:val="0"/>
        <w:spacing w:afterLines="50" w:after="120"/>
        <w:rPr>
          <w:rFonts w:ascii="Times New Roman" w:hAnsi="宋体"/>
          <w:b/>
          <w:bCs/>
          <w:szCs w:val="21"/>
          <w:u w:val="single"/>
        </w:rPr>
      </w:pPr>
    </w:p>
    <w:p w:rsidR="00971964" w:rsidRDefault="00971964" w:rsidP="00971964">
      <w:pPr>
        <w:autoSpaceDE w:val="0"/>
        <w:autoSpaceDN w:val="0"/>
        <w:rPr>
          <w:rFonts w:ascii="Arial" w:hAnsi="Arial" w:cs="Arial"/>
          <w:b/>
          <w:bCs/>
          <w:sz w:val="20"/>
          <w:szCs w:val="20"/>
          <w:u w:val="single"/>
        </w:rPr>
      </w:pPr>
      <w:r>
        <w:rPr>
          <w:rFonts w:ascii="Arial" w:hAnsi="Arial" w:cs="Arial" w:hint="eastAsia"/>
          <w:b/>
          <w:bCs/>
          <w:sz w:val="20"/>
          <w:szCs w:val="20"/>
          <w:u w:val="single"/>
        </w:rPr>
        <w:t>新的</w:t>
      </w:r>
      <w:r>
        <w:rPr>
          <w:rFonts w:ascii="Arial" w:hAnsi="Arial" w:cs="Arial"/>
          <w:b/>
          <w:bCs/>
          <w:sz w:val="20"/>
          <w:szCs w:val="20"/>
          <w:u w:val="single"/>
        </w:rPr>
        <w:t>研究发现美国人的盐摄入依然超标</w:t>
      </w:r>
      <w:r>
        <w:rPr>
          <w:rFonts w:ascii="Arial" w:hAnsi="Arial" w:cs="Arial"/>
          <w:b/>
          <w:bCs/>
          <w:sz w:val="20"/>
          <w:szCs w:val="20"/>
          <w:u w:val="single"/>
        </w:rPr>
        <w:t xml:space="preserve"> </w:t>
      </w:r>
    </w:p>
    <w:p w:rsidR="00040762" w:rsidRDefault="00040762" w:rsidP="00040762">
      <w:pPr>
        <w:rPr>
          <w:rFonts w:ascii="Arial" w:hAnsi="Arial" w:cs="Arial"/>
          <w:sz w:val="20"/>
          <w:szCs w:val="20"/>
        </w:rPr>
      </w:pPr>
      <w:r>
        <w:rPr>
          <w:rFonts w:ascii="Arial" w:hAnsi="Arial" w:cs="Arial" w:hint="eastAsia"/>
          <w:sz w:val="20"/>
          <w:szCs w:val="20"/>
        </w:rPr>
        <w:t xml:space="preserve">        </w:t>
      </w:r>
      <w:r w:rsidR="00971964">
        <w:rPr>
          <w:rFonts w:ascii="Arial" w:hAnsi="Arial" w:cs="Arial" w:hint="eastAsia"/>
          <w:sz w:val="20"/>
          <w:szCs w:val="20"/>
        </w:rPr>
        <w:t>最近</w:t>
      </w:r>
      <w:r w:rsidR="00971964">
        <w:rPr>
          <w:rFonts w:ascii="Arial" w:hAnsi="Arial" w:cs="Arial"/>
          <w:sz w:val="20"/>
          <w:szCs w:val="20"/>
        </w:rPr>
        <w:t>的发病率死亡率周报</w:t>
      </w:r>
      <w:r w:rsidR="00971964">
        <w:rPr>
          <w:rFonts w:ascii="Arial" w:hAnsi="Arial" w:cs="Arial"/>
          <w:sz w:val="20"/>
          <w:szCs w:val="20"/>
        </w:rPr>
        <w:t xml:space="preserve"> (MMWR)</w:t>
      </w:r>
      <w:r w:rsidR="00971964" w:rsidRPr="00971964">
        <w:t xml:space="preserve"> </w:t>
      </w:r>
      <w:r w:rsidR="00971964">
        <w:rPr>
          <w:rFonts w:hint="eastAsia"/>
        </w:rPr>
        <w:t>显示</w:t>
      </w:r>
      <w:r w:rsidR="00971964" w:rsidRPr="00971964">
        <w:rPr>
          <w:rFonts w:ascii="Arial" w:hAnsi="Arial" w:cs="Arial"/>
          <w:sz w:val="20"/>
          <w:szCs w:val="20"/>
        </w:rPr>
        <w:t>，</w:t>
      </w:r>
      <w:r>
        <w:rPr>
          <w:rFonts w:ascii="Arial" w:hAnsi="Arial" w:cs="Arial" w:hint="eastAsia"/>
          <w:sz w:val="20"/>
          <w:szCs w:val="20"/>
        </w:rPr>
        <w:t>尽管</w:t>
      </w:r>
      <w:r>
        <w:rPr>
          <w:rFonts w:ascii="Arial" w:hAnsi="Arial" w:cs="Arial"/>
          <w:sz w:val="20"/>
          <w:szCs w:val="20"/>
        </w:rPr>
        <w:t>有居民膳食指南，无论现有健康状况</w:t>
      </w:r>
      <w:r>
        <w:rPr>
          <w:rFonts w:ascii="Arial" w:hAnsi="Arial" w:cs="Arial" w:hint="eastAsia"/>
          <w:sz w:val="20"/>
          <w:szCs w:val="20"/>
        </w:rPr>
        <w:t>，</w:t>
      </w:r>
      <w:r w:rsidR="00971964" w:rsidRPr="00971964">
        <w:rPr>
          <w:rFonts w:ascii="Arial" w:hAnsi="Arial" w:cs="Arial"/>
          <w:sz w:val="20"/>
          <w:szCs w:val="20"/>
        </w:rPr>
        <w:t>大多数美国人仍然</w:t>
      </w:r>
      <w:r w:rsidR="00971964">
        <w:rPr>
          <w:rFonts w:ascii="Arial" w:hAnsi="Arial" w:cs="Arial" w:hint="eastAsia"/>
          <w:sz w:val="20"/>
          <w:szCs w:val="20"/>
        </w:rPr>
        <w:t>摄入过多</w:t>
      </w:r>
      <w:r w:rsidR="00971964">
        <w:rPr>
          <w:rFonts w:ascii="Arial" w:hAnsi="Arial" w:cs="Arial"/>
          <w:sz w:val="20"/>
          <w:szCs w:val="20"/>
        </w:rPr>
        <w:t>的钠</w:t>
      </w:r>
      <w:r w:rsidR="00971964" w:rsidRPr="00971964">
        <w:rPr>
          <w:rFonts w:ascii="Arial" w:hAnsi="Arial" w:cs="Arial"/>
          <w:sz w:val="20"/>
          <w:szCs w:val="20"/>
        </w:rPr>
        <w:t>。</w:t>
      </w:r>
      <w:r>
        <w:rPr>
          <w:rFonts w:ascii="Arial" w:hAnsi="Arial" w:cs="Arial" w:hint="eastAsia"/>
          <w:sz w:val="20"/>
          <w:szCs w:val="20"/>
        </w:rPr>
        <w:t>文章《美国</w:t>
      </w:r>
      <w:r>
        <w:rPr>
          <w:rFonts w:ascii="Arial" w:hAnsi="Arial" w:cs="Arial"/>
          <w:sz w:val="20"/>
          <w:szCs w:val="20"/>
        </w:rPr>
        <w:t>过量钠摄入</w:t>
      </w:r>
      <w:r>
        <w:rPr>
          <w:rFonts w:ascii="Arial" w:hAnsi="Arial" w:cs="Arial" w:hint="eastAsia"/>
          <w:sz w:val="20"/>
          <w:szCs w:val="20"/>
        </w:rPr>
        <w:t>流行</w:t>
      </w:r>
      <w:r>
        <w:rPr>
          <w:rFonts w:ascii="Arial" w:hAnsi="Arial" w:cs="Arial"/>
          <w:sz w:val="20"/>
          <w:szCs w:val="20"/>
        </w:rPr>
        <w:t>情况</w:t>
      </w:r>
      <w:r>
        <w:rPr>
          <w:rFonts w:ascii="Arial" w:hAnsi="Arial" w:cs="Arial"/>
          <w:sz w:val="20"/>
          <w:szCs w:val="20"/>
        </w:rPr>
        <w:t>-</w:t>
      </w:r>
      <w:r>
        <w:rPr>
          <w:rFonts w:ascii="Arial" w:hAnsi="Arial" w:cs="Arial"/>
          <w:sz w:val="20"/>
          <w:szCs w:val="20"/>
        </w:rPr>
        <w:t>美国国家营养与健康调查</w:t>
      </w:r>
      <w:r>
        <w:rPr>
          <w:rFonts w:ascii="Arial" w:hAnsi="Arial" w:cs="Arial"/>
          <w:sz w:val="20"/>
          <w:szCs w:val="20"/>
        </w:rPr>
        <w:t>2009-2012</w:t>
      </w:r>
      <w:r>
        <w:rPr>
          <w:rFonts w:ascii="Arial" w:hAnsi="Arial" w:cs="Arial"/>
          <w:sz w:val="20"/>
          <w:szCs w:val="20"/>
        </w:rPr>
        <w:t>》</w:t>
      </w:r>
      <w:r>
        <w:rPr>
          <w:rFonts w:ascii="Arial" w:hAnsi="Arial" w:cs="Arial" w:hint="eastAsia"/>
          <w:sz w:val="20"/>
          <w:szCs w:val="20"/>
        </w:rPr>
        <w:t>数据</w:t>
      </w:r>
      <w:r>
        <w:rPr>
          <w:rFonts w:ascii="Arial" w:hAnsi="Arial" w:cs="Arial"/>
          <w:sz w:val="20"/>
          <w:szCs w:val="20"/>
        </w:rPr>
        <w:t>显示与</w:t>
      </w:r>
      <w:r>
        <w:rPr>
          <w:rFonts w:ascii="Arial" w:hAnsi="Arial" w:cs="Arial"/>
          <w:sz w:val="20"/>
          <w:szCs w:val="20"/>
        </w:rPr>
        <w:t>2015-2020</w:t>
      </w:r>
      <w:r>
        <w:rPr>
          <w:rFonts w:ascii="Arial" w:hAnsi="Arial" w:cs="Arial"/>
          <w:sz w:val="20"/>
          <w:szCs w:val="20"/>
        </w:rPr>
        <w:t>美国居民膳食指南</w:t>
      </w:r>
      <w:r>
        <w:rPr>
          <w:rFonts w:ascii="Arial" w:hAnsi="Arial" w:cs="Arial" w:hint="eastAsia"/>
          <w:sz w:val="20"/>
          <w:szCs w:val="20"/>
        </w:rPr>
        <w:t>相关</w:t>
      </w:r>
      <w:r>
        <w:rPr>
          <w:rFonts w:ascii="Arial" w:hAnsi="Arial" w:cs="Arial"/>
          <w:sz w:val="20"/>
          <w:szCs w:val="20"/>
        </w:rPr>
        <w:t>的</w:t>
      </w:r>
      <w:r>
        <w:rPr>
          <w:rFonts w:ascii="Arial" w:hAnsi="Arial" w:cs="Arial" w:hint="eastAsia"/>
          <w:sz w:val="20"/>
          <w:szCs w:val="20"/>
        </w:rPr>
        <w:t>过量</w:t>
      </w:r>
      <w:r>
        <w:rPr>
          <w:rFonts w:ascii="Arial" w:hAnsi="Arial" w:cs="Arial"/>
          <w:sz w:val="20"/>
          <w:szCs w:val="20"/>
        </w:rPr>
        <w:t>钠摄入</w:t>
      </w:r>
      <w:r>
        <w:rPr>
          <w:rFonts w:ascii="Arial" w:hAnsi="Arial" w:cs="Arial" w:hint="eastAsia"/>
          <w:sz w:val="20"/>
          <w:szCs w:val="20"/>
        </w:rPr>
        <w:t>流行</w:t>
      </w:r>
      <w:r>
        <w:rPr>
          <w:rFonts w:ascii="Arial" w:hAnsi="Arial" w:cs="Arial"/>
          <w:sz w:val="20"/>
          <w:szCs w:val="20"/>
        </w:rPr>
        <w:t>情况</w:t>
      </w:r>
      <w:r w:rsidR="00971964" w:rsidRPr="00971964">
        <w:rPr>
          <w:rFonts w:ascii="Arial" w:hAnsi="Arial" w:cs="Arial"/>
          <w:sz w:val="20"/>
          <w:szCs w:val="20"/>
        </w:rPr>
        <w:t>。结果还表明</w:t>
      </w:r>
      <w:r>
        <w:rPr>
          <w:rFonts w:ascii="Arial" w:hAnsi="Arial" w:cs="Arial" w:hint="eastAsia"/>
          <w:sz w:val="20"/>
          <w:szCs w:val="20"/>
        </w:rPr>
        <w:t>在</w:t>
      </w:r>
      <w:r>
        <w:rPr>
          <w:rFonts w:ascii="Arial" w:hAnsi="Arial" w:cs="Arial"/>
          <w:sz w:val="20"/>
          <w:szCs w:val="20"/>
        </w:rPr>
        <w:t>2009-2012</w:t>
      </w:r>
      <w:r>
        <w:rPr>
          <w:rFonts w:ascii="Arial" w:hAnsi="Arial" w:cs="Arial"/>
          <w:sz w:val="20"/>
          <w:szCs w:val="20"/>
        </w:rPr>
        <w:t>年</w:t>
      </w:r>
      <w:r>
        <w:rPr>
          <w:rFonts w:ascii="Arial" w:hAnsi="Arial" w:cs="Arial" w:hint="eastAsia"/>
          <w:sz w:val="20"/>
          <w:szCs w:val="20"/>
        </w:rPr>
        <w:t>：</w:t>
      </w:r>
    </w:p>
    <w:p w:rsidR="00971964" w:rsidRDefault="00040762" w:rsidP="00040762">
      <w:pPr>
        <w:pStyle w:val="ListParagraph"/>
        <w:numPr>
          <w:ilvl w:val="0"/>
          <w:numId w:val="9"/>
        </w:numPr>
        <w:rPr>
          <w:rFonts w:ascii="Arial" w:hAnsi="Arial" w:cs="Arial"/>
          <w:sz w:val="20"/>
          <w:szCs w:val="20"/>
          <w:lang w:eastAsia="zh-CN"/>
        </w:rPr>
      </w:pPr>
      <w:r>
        <w:rPr>
          <w:rFonts w:ascii="Arial" w:hAnsi="Arial" w:cs="Arial" w:hint="eastAsia"/>
          <w:sz w:val="20"/>
          <w:szCs w:val="20"/>
          <w:lang w:eastAsia="zh-CN"/>
        </w:rPr>
        <w:t>年龄</w:t>
      </w:r>
      <w:r>
        <w:rPr>
          <w:rFonts w:ascii="Arial" w:hAnsi="Arial" w:cs="Arial"/>
          <w:sz w:val="20"/>
          <w:szCs w:val="20"/>
          <w:lang w:eastAsia="zh-CN"/>
        </w:rPr>
        <w:t>大于</w:t>
      </w:r>
      <w:r>
        <w:rPr>
          <w:rFonts w:ascii="Arial" w:hAnsi="Arial" w:cs="Arial"/>
          <w:sz w:val="20"/>
          <w:szCs w:val="20"/>
          <w:lang w:eastAsia="zh-CN"/>
        </w:rPr>
        <w:t>19</w:t>
      </w:r>
      <w:r>
        <w:rPr>
          <w:rFonts w:ascii="Arial" w:hAnsi="Arial" w:cs="Arial" w:hint="eastAsia"/>
          <w:sz w:val="20"/>
          <w:szCs w:val="20"/>
          <w:lang w:eastAsia="zh-CN"/>
        </w:rPr>
        <w:t>岁</w:t>
      </w:r>
      <w:r>
        <w:rPr>
          <w:rFonts w:ascii="Arial" w:hAnsi="Arial" w:cs="Arial"/>
          <w:sz w:val="20"/>
          <w:szCs w:val="20"/>
          <w:lang w:eastAsia="zh-CN"/>
        </w:rPr>
        <w:t>的成年人中，</w:t>
      </w:r>
      <w:r>
        <w:rPr>
          <w:rFonts w:ascii="Arial" w:hAnsi="Arial" w:cs="Arial"/>
          <w:sz w:val="20"/>
          <w:szCs w:val="20"/>
          <w:lang w:eastAsia="zh-CN"/>
        </w:rPr>
        <w:t>89%</w:t>
      </w:r>
      <w:r>
        <w:rPr>
          <w:rFonts w:ascii="Arial" w:hAnsi="Arial" w:cs="Arial" w:hint="eastAsia"/>
          <w:sz w:val="20"/>
          <w:szCs w:val="20"/>
          <w:lang w:eastAsia="zh-CN"/>
        </w:rPr>
        <w:t>摄入</w:t>
      </w:r>
      <w:r>
        <w:rPr>
          <w:rFonts w:ascii="Arial" w:hAnsi="Arial" w:cs="Arial"/>
          <w:sz w:val="20"/>
          <w:szCs w:val="20"/>
          <w:lang w:eastAsia="zh-CN"/>
        </w:rPr>
        <w:t>过多的</w:t>
      </w:r>
      <w:r>
        <w:rPr>
          <w:rFonts w:ascii="Arial" w:hAnsi="Arial" w:cs="Arial" w:hint="eastAsia"/>
          <w:sz w:val="20"/>
          <w:szCs w:val="20"/>
          <w:lang w:eastAsia="zh-CN"/>
        </w:rPr>
        <w:t>钠</w:t>
      </w:r>
      <w:r>
        <w:rPr>
          <w:rFonts w:ascii="Arial" w:hAnsi="Arial" w:cs="Arial"/>
          <w:sz w:val="20"/>
          <w:szCs w:val="20"/>
          <w:lang w:eastAsia="zh-CN"/>
        </w:rPr>
        <w:t>；</w:t>
      </w:r>
    </w:p>
    <w:p w:rsidR="00040762" w:rsidRDefault="00040762" w:rsidP="00040762">
      <w:pPr>
        <w:pStyle w:val="ListParagraph"/>
        <w:numPr>
          <w:ilvl w:val="0"/>
          <w:numId w:val="9"/>
        </w:numPr>
        <w:rPr>
          <w:rFonts w:ascii="Arial" w:hAnsi="Arial" w:cs="Arial"/>
          <w:sz w:val="20"/>
          <w:szCs w:val="20"/>
          <w:lang w:eastAsia="zh-CN"/>
        </w:rPr>
      </w:pPr>
      <w:r>
        <w:rPr>
          <w:rFonts w:ascii="Arial" w:hAnsi="Arial" w:cs="Arial" w:hint="eastAsia"/>
          <w:sz w:val="20"/>
          <w:szCs w:val="20"/>
          <w:lang w:eastAsia="zh-CN"/>
        </w:rPr>
        <w:t>能量</w:t>
      </w:r>
      <w:r>
        <w:rPr>
          <w:rFonts w:ascii="Arial" w:hAnsi="Arial" w:cs="Arial"/>
          <w:sz w:val="20"/>
          <w:szCs w:val="20"/>
          <w:lang w:eastAsia="zh-CN"/>
        </w:rPr>
        <w:t>摄入多的人钠摄入一般也较高</w:t>
      </w:r>
      <w:r>
        <w:rPr>
          <w:rFonts w:ascii="Arial" w:hAnsi="Arial" w:cs="Arial" w:hint="eastAsia"/>
          <w:sz w:val="20"/>
          <w:szCs w:val="20"/>
          <w:lang w:eastAsia="zh-CN"/>
        </w:rPr>
        <w:t>，</w:t>
      </w:r>
      <w:r>
        <w:rPr>
          <w:rFonts w:ascii="Arial" w:hAnsi="Arial" w:cs="Arial"/>
          <w:sz w:val="20"/>
          <w:szCs w:val="20"/>
          <w:lang w:eastAsia="zh-CN"/>
        </w:rPr>
        <w:t>年龄段</w:t>
      </w:r>
      <w:r>
        <w:rPr>
          <w:rFonts w:ascii="Arial" w:hAnsi="Arial" w:cs="Arial"/>
          <w:sz w:val="20"/>
          <w:szCs w:val="20"/>
          <w:lang w:eastAsia="zh-CN"/>
        </w:rPr>
        <w:t>19-50</w:t>
      </w:r>
      <w:r>
        <w:rPr>
          <w:rFonts w:ascii="Arial" w:hAnsi="Arial" w:cs="Arial"/>
          <w:sz w:val="20"/>
          <w:szCs w:val="20"/>
          <w:lang w:eastAsia="zh-CN"/>
        </w:rPr>
        <w:t>岁的人群</w:t>
      </w:r>
      <w:r>
        <w:rPr>
          <w:rFonts w:ascii="Arial" w:hAnsi="Arial" w:cs="Arial" w:hint="eastAsia"/>
          <w:sz w:val="20"/>
          <w:szCs w:val="20"/>
          <w:lang w:eastAsia="zh-CN"/>
        </w:rPr>
        <w:t>预计</w:t>
      </w:r>
      <w:r>
        <w:rPr>
          <w:rFonts w:ascii="Arial" w:hAnsi="Arial" w:cs="Arial"/>
          <w:sz w:val="20"/>
          <w:szCs w:val="20"/>
          <w:lang w:eastAsia="zh-CN"/>
        </w:rPr>
        <w:t>钠摄入</w:t>
      </w:r>
      <w:r>
        <w:rPr>
          <w:rFonts w:ascii="Arial" w:hAnsi="Arial" w:cs="Arial" w:hint="eastAsia"/>
          <w:sz w:val="20"/>
          <w:szCs w:val="20"/>
          <w:lang w:eastAsia="zh-CN"/>
        </w:rPr>
        <w:t>量</w:t>
      </w:r>
      <w:r>
        <w:rPr>
          <w:rFonts w:ascii="Arial" w:hAnsi="Arial" w:cs="Arial"/>
          <w:sz w:val="20"/>
          <w:szCs w:val="20"/>
          <w:lang w:eastAsia="zh-CN"/>
        </w:rPr>
        <w:t>最高；</w:t>
      </w:r>
    </w:p>
    <w:p w:rsidR="00040762" w:rsidRDefault="00040762" w:rsidP="00040762">
      <w:pPr>
        <w:pStyle w:val="ListParagraph"/>
        <w:numPr>
          <w:ilvl w:val="0"/>
          <w:numId w:val="9"/>
        </w:numPr>
        <w:rPr>
          <w:rFonts w:ascii="Arial" w:hAnsi="Arial" w:cs="Arial"/>
          <w:sz w:val="20"/>
          <w:szCs w:val="20"/>
          <w:lang w:eastAsia="zh-CN"/>
        </w:rPr>
      </w:pPr>
      <w:r>
        <w:rPr>
          <w:rFonts w:ascii="Arial" w:hAnsi="Arial" w:cs="Arial" w:hint="eastAsia"/>
          <w:sz w:val="20"/>
          <w:szCs w:val="20"/>
          <w:lang w:eastAsia="zh-CN"/>
        </w:rPr>
        <w:t>年龄段</w:t>
      </w:r>
      <w:r>
        <w:rPr>
          <w:rFonts w:ascii="Arial" w:hAnsi="Arial" w:cs="Arial"/>
          <w:sz w:val="20"/>
          <w:szCs w:val="20"/>
          <w:lang w:eastAsia="zh-CN"/>
        </w:rPr>
        <w:t>19-50</w:t>
      </w:r>
      <w:r>
        <w:rPr>
          <w:rFonts w:ascii="Arial" w:hAnsi="Arial" w:cs="Arial"/>
          <w:sz w:val="20"/>
          <w:szCs w:val="20"/>
          <w:lang w:eastAsia="zh-CN"/>
        </w:rPr>
        <w:t>岁的人群钠摄入密度</w:t>
      </w:r>
      <w:r w:rsidR="00FB4255">
        <w:rPr>
          <w:rFonts w:ascii="Arial" w:hAnsi="Arial" w:cs="Arial" w:hint="eastAsia"/>
          <w:sz w:val="20"/>
          <w:szCs w:val="20"/>
          <w:lang w:eastAsia="zh-CN"/>
        </w:rPr>
        <w:t>（摄入每</w:t>
      </w:r>
      <w:r w:rsidR="00FB4255">
        <w:rPr>
          <w:rFonts w:ascii="Arial" w:hAnsi="Arial" w:cs="Arial"/>
          <w:sz w:val="20"/>
          <w:szCs w:val="20"/>
          <w:lang w:eastAsia="zh-CN"/>
        </w:rPr>
        <w:t>1000</w:t>
      </w:r>
      <w:r w:rsidR="00FB4255">
        <w:rPr>
          <w:rFonts w:ascii="Arial" w:hAnsi="Arial" w:cs="Arial"/>
          <w:sz w:val="20"/>
          <w:szCs w:val="20"/>
          <w:lang w:eastAsia="zh-CN"/>
        </w:rPr>
        <w:t>卡路里</w:t>
      </w:r>
      <w:r w:rsidR="00FB4255">
        <w:rPr>
          <w:rFonts w:ascii="Arial" w:hAnsi="Arial" w:cs="Arial" w:hint="eastAsia"/>
          <w:sz w:val="20"/>
          <w:szCs w:val="20"/>
          <w:lang w:eastAsia="zh-CN"/>
        </w:rPr>
        <w:t>的</w:t>
      </w:r>
      <w:r w:rsidR="00FB4255">
        <w:rPr>
          <w:rFonts w:ascii="Arial" w:hAnsi="Arial" w:cs="Arial"/>
          <w:sz w:val="20"/>
          <w:szCs w:val="20"/>
          <w:lang w:eastAsia="zh-CN"/>
        </w:rPr>
        <w:t>钠</w:t>
      </w:r>
      <w:r w:rsidR="00FB4255">
        <w:rPr>
          <w:rFonts w:ascii="Arial" w:hAnsi="Arial" w:cs="Arial" w:hint="eastAsia"/>
          <w:sz w:val="20"/>
          <w:szCs w:val="20"/>
          <w:lang w:eastAsia="zh-CN"/>
        </w:rPr>
        <w:t>量</w:t>
      </w:r>
      <w:r w:rsidR="00FB4255">
        <w:rPr>
          <w:rFonts w:ascii="Arial" w:hAnsi="Arial" w:cs="Arial"/>
          <w:sz w:val="20"/>
          <w:szCs w:val="20"/>
          <w:lang w:eastAsia="zh-CN"/>
        </w:rPr>
        <w:t>）</w:t>
      </w:r>
      <w:r w:rsidR="00FB4255">
        <w:rPr>
          <w:rFonts w:ascii="Arial" w:hAnsi="Arial" w:cs="Arial" w:hint="eastAsia"/>
          <w:sz w:val="20"/>
          <w:szCs w:val="20"/>
          <w:lang w:eastAsia="zh-CN"/>
        </w:rPr>
        <w:t>，</w:t>
      </w:r>
      <w:r w:rsidR="00FB4255">
        <w:rPr>
          <w:rFonts w:ascii="Arial" w:hAnsi="Arial" w:cs="Arial"/>
          <w:sz w:val="20"/>
          <w:szCs w:val="20"/>
          <w:lang w:eastAsia="zh-CN"/>
        </w:rPr>
        <w:t>平均</w:t>
      </w:r>
      <w:r w:rsidR="00FB4255">
        <w:rPr>
          <w:rFonts w:ascii="Arial" w:hAnsi="Arial" w:cs="Arial"/>
          <w:sz w:val="20"/>
          <w:szCs w:val="20"/>
          <w:lang w:eastAsia="zh-CN"/>
        </w:rPr>
        <w:t>1730</w:t>
      </w:r>
      <w:r w:rsidR="00FB4255">
        <w:rPr>
          <w:rFonts w:ascii="Arial" w:hAnsi="Arial" w:cs="Arial"/>
          <w:sz w:val="20"/>
          <w:szCs w:val="20"/>
          <w:lang w:eastAsia="zh-CN"/>
        </w:rPr>
        <w:t>毫克钠</w:t>
      </w:r>
      <w:r w:rsidR="00FB4255">
        <w:rPr>
          <w:rFonts w:ascii="Arial" w:hAnsi="Arial" w:cs="Arial"/>
          <w:sz w:val="20"/>
          <w:szCs w:val="20"/>
          <w:lang w:eastAsia="zh-CN"/>
        </w:rPr>
        <w:t>/1000</w:t>
      </w:r>
      <w:r w:rsidR="00FB4255">
        <w:rPr>
          <w:rFonts w:ascii="Arial" w:hAnsi="Arial" w:cs="Arial"/>
          <w:sz w:val="20"/>
          <w:szCs w:val="20"/>
          <w:lang w:eastAsia="zh-CN"/>
        </w:rPr>
        <w:t>卡路里，</w:t>
      </w:r>
      <w:r w:rsidR="00FB4255">
        <w:rPr>
          <w:rFonts w:ascii="Arial" w:hAnsi="Arial" w:cs="Arial" w:hint="eastAsia"/>
          <w:sz w:val="20"/>
          <w:szCs w:val="20"/>
          <w:lang w:eastAsia="zh-CN"/>
        </w:rPr>
        <w:t>2</w:t>
      </w:r>
      <w:r w:rsidR="00FB4255">
        <w:rPr>
          <w:rFonts w:ascii="Arial" w:hAnsi="Arial" w:cs="Arial"/>
          <w:sz w:val="20"/>
          <w:szCs w:val="20"/>
          <w:lang w:eastAsia="zh-CN"/>
        </w:rPr>
        <w:t>-3</w:t>
      </w:r>
      <w:r w:rsidR="00FB4255">
        <w:rPr>
          <w:rFonts w:ascii="Arial" w:hAnsi="Arial" w:cs="Arial"/>
          <w:sz w:val="20"/>
          <w:szCs w:val="20"/>
          <w:lang w:eastAsia="zh-CN"/>
        </w:rPr>
        <w:t>岁</w:t>
      </w:r>
      <w:r w:rsidR="00FB4255">
        <w:rPr>
          <w:rFonts w:ascii="Arial" w:hAnsi="Arial" w:cs="Arial" w:hint="eastAsia"/>
          <w:sz w:val="20"/>
          <w:szCs w:val="20"/>
          <w:lang w:eastAsia="zh-CN"/>
        </w:rPr>
        <w:t>儿童的</w:t>
      </w:r>
      <w:r w:rsidR="00FB4255">
        <w:rPr>
          <w:rFonts w:ascii="Arial" w:hAnsi="Arial" w:cs="Arial"/>
          <w:sz w:val="20"/>
          <w:szCs w:val="20"/>
          <w:lang w:eastAsia="zh-CN"/>
        </w:rPr>
        <w:t>最低</w:t>
      </w:r>
      <w:r w:rsidR="00FB4255">
        <w:rPr>
          <w:rFonts w:ascii="Arial" w:hAnsi="Arial" w:cs="Arial" w:hint="eastAsia"/>
          <w:sz w:val="20"/>
          <w:szCs w:val="20"/>
          <w:lang w:eastAsia="zh-CN"/>
        </w:rPr>
        <w:t>，</w:t>
      </w:r>
      <w:r w:rsidR="00FB4255">
        <w:rPr>
          <w:rFonts w:ascii="Arial" w:hAnsi="Arial" w:cs="Arial"/>
          <w:sz w:val="20"/>
          <w:szCs w:val="20"/>
          <w:lang w:eastAsia="zh-CN"/>
        </w:rPr>
        <w:t>平均为</w:t>
      </w:r>
      <w:r w:rsidR="00FB4255">
        <w:rPr>
          <w:rFonts w:ascii="Arial" w:hAnsi="Arial" w:cs="Arial"/>
          <w:sz w:val="20"/>
          <w:szCs w:val="20"/>
          <w:lang w:eastAsia="zh-CN"/>
        </w:rPr>
        <w:t>1466</w:t>
      </w:r>
      <w:r w:rsidR="00FB4255">
        <w:rPr>
          <w:rFonts w:ascii="Arial" w:hAnsi="Arial" w:cs="Arial"/>
          <w:sz w:val="20"/>
          <w:szCs w:val="20"/>
          <w:lang w:eastAsia="zh-CN"/>
        </w:rPr>
        <w:t>毫克钠</w:t>
      </w:r>
      <w:r w:rsidR="00FB4255">
        <w:rPr>
          <w:rFonts w:ascii="Arial" w:hAnsi="Arial" w:cs="Arial"/>
          <w:sz w:val="20"/>
          <w:szCs w:val="20"/>
          <w:lang w:eastAsia="zh-CN"/>
        </w:rPr>
        <w:t>/1000</w:t>
      </w:r>
      <w:r w:rsidR="00FB4255">
        <w:rPr>
          <w:rFonts w:ascii="Arial" w:hAnsi="Arial" w:cs="Arial"/>
          <w:sz w:val="20"/>
          <w:szCs w:val="20"/>
          <w:lang w:eastAsia="zh-CN"/>
        </w:rPr>
        <w:t>卡路里；</w:t>
      </w:r>
    </w:p>
    <w:p w:rsidR="00FB4255" w:rsidRPr="00040762" w:rsidRDefault="00FB4255" w:rsidP="00040762">
      <w:pPr>
        <w:pStyle w:val="ListParagraph"/>
        <w:numPr>
          <w:ilvl w:val="0"/>
          <w:numId w:val="9"/>
        </w:numPr>
        <w:rPr>
          <w:rFonts w:ascii="Arial" w:hAnsi="Arial" w:cs="Arial"/>
          <w:sz w:val="20"/>
          <w:szCs w:val="20"/>
          <w:lang w:eastAsia="zh-CN"/>
        </w:rPr>
      </w:pPr>
      <w:r>
        <w:rPr>
          <w:rFonts w:ascii="Arial" w:hAnsi="Arial" w:cs="Arial"/>
          <w:sz w:val="20"/>
          <w:szCs w:val="20"/>
          <w:lang w:eastAsia="zh-CN"/>
        </w:rPr>
        <w:t>90%</w:t>
      </w:r>
      <w:r>
        <w:rPr>
          <w:rFonts w:ascii="Arial" w:hAnsi="Arial" w:cs="Arial" w:hint="eastAsia"/>
          <w:sz w:val="20"/>
          <w:szCs w:val="20"/>
          <w:lang w:eastAsia="zh-CN"/>
        </w:rPr>
        <w:t>没有</w:t>
      </w:r>
      <w:r>
        <w:rPr>
          <w:rFonts w:ascii="Arial" w:hAnsi="Arial" w:cs="Arial"/>
          <w:sz w:val="20"/>
          <w:szCs w:val="20"/>
          <w:lang w:eastAsia="zh-CN"/>
        </w:rPr>
        <w:t>高血压的</w:t>
      </w:r>
      <w:r>
        <w:rPr>
          <w:rFonts w:ascii="Arial" w:hAnsi="Arial" w:cs="Arial" w:hint="eastAsia"/>
          <w:sz w:val="20"/>
          <w:szCs w:val="20"/>
          <w:lang w:eastAsia="zh-CN"/>
        </w:rPr>
        <w:t>成人</w:t>
      </w:r>
      <w:r>
        <w:rPr>
          <w:rFonts w:ascii="Arial" w:hAnsi="Arial" w:cs="Arial"/>
          <w:sz w:val="20"/>
          <w:szCs w:val="20"/>
          <w:lang w:eastAsia="zh-CN"/>
        </w:rPr>
        <w:t>每天摄入</w:t>
      </w:r>
      <w:r>
        <w:rPr>
          <w:rFonts w:ascii="Arial" w:hAnsi="Arial" w:cs="Arial" w:hint="eastAsia"/>
          <w:sz w:val="20"/>
          <w:szCs w:val="20"/>
          <w:lang w:eastAsia="zh-CN"/>
        </w:rPr>
        <w:t>的</w:t>
      </w:r>
      <w:r>
        <w:rPr>
          <w:rFonts w:ascii="Arial" w:hAnsi="Arial" w:cs="Arial"/>
          <w:sz w:val="20"/>
          <w:szCs w:val="20"/>
          <w:lang w:eastAsia="zh-CN"/>
        </w:rPr>
        <w:t>钠超过</w:t>
      </w:r>
      <w:r>
        <w:rPr>
          <w:rFonts w:ascii="Arial" w:hAnsi="Arial" w:cs="Arial"/>
          <w:sz w:val="20"/>
          <w:szCs w:val="20"/>
          <w:lang w:eastAsia="zh-CN"/>
        </w:rPr>
        <w:t>2300</w:t>
      </w:r>
      <w:r>
        <w:rPr>
          <w:rFonts w:ascii="Arial" w:hAnsi="Arial" w:cs="Arial"/>
          <w:sz w:val="20"/>
          <w:szCs w:val="20"/>
          <w:lang w:eastAsia="zh-CN"/>
        </w:rPr>
        <w:t>毫克，</w:t>
      </w:r>
      <w:r>
        <w:rPr>
          <w:rFonts w:ascii="Arial" w:hAnsi="Arial" w:cs="Arial" w:hint="eastAsia"/>
          <w:sz w:val="20"/>
          <w:szCs w:val="20"/>
          <w:lang w:eastAsia="zh-CN"/>
        </w:rPr>
        <w:t>8</w:t>
      </w:r>
      <w:r>
        <w:rPr>
          <w:rFonts w:ascii="Arial" w:hAnsi="Arial" w:cs="Arial"/>
          <w:sz w:val="20"/>
          <w:szCs w:val="20"/>
          <w:lang w:eastAsia="zh-CN"/>
        </w:rPr>
        <w:t>6%</w:t>
      </w:r>
      <w:r>
        <w:rPr>
          <w:rFonts w:ascii="Arial" w:hAnsi="Arial" w:cs="Arial" w:hint="eastAsia"/>
          <w:sz w:val="20"/>
          <w:szCs w:val="20"/>
          <w:lang w:eastAsia="zh-CN"/>
        </w:rPr>
        <w:t>患高血压的成人钠摄入</w:t>
      </w:r>
      <w:r>
        <w:rPr>
          <w:rFonts w:ascii="Arial" w:hAnsi="Arial" w:cs="Arial"/>
          <w:sz w:val="20"/>
          <w:szCs w:val="20"/>
          <w:lang w:eastAsia="zh-CN"/>
        </w:rPr>
        <w:t>超过</w:t>
      </w:r>
      <w:r>
        <w:rPr>
          <w:rFonts w:ascii="Arial" w:hAnsi="Arial" w:cs="Arial"/>
          <w:sz w:val="20"/>
          <w:szCs w:val="20"/>
          <w:lang w:eastAsia="zh-CN"/>
        </w:rPr>
        <w:t>2300</w:t>
      </w:r>
      <w:r>
        <w:rPr>
          <w:rFonts w:ascii="Arial" w:hAnsi="Arial" w:cs="Arial"/>
          <w:sz w:val="20"/>
          <w:szCs w:val="20"/>
          <w:lang w:eastAsia="zh-CN"/>
        </w:rPr>
        <w:t>毫克</w:t>
      </w:r>
      <w:r>
        <w:rPr>
          <w:rFonts w:ascii="Arial" w:hAnsi="Arial" w:cs="Arial" w:hint="eastAsia"/>
          <w:sz w:val="20"/>
          <w:szCs w:val="20"/>
          <w:lang w:eastAsia="zh-CN"/>
        </w:rPr>
        <w:t>。</w:t>
      </w:r>
    </w:p>
    <w:p w:rsidR="00971964" w:rsidRDefault="00FB4255" w:rsidP="00971964">
      <w:pPr>
        <w:spacing w:before="100" w:beforeAutospacing="1" w:after="100" w:afterAutospacing="1"/>
        <w:rPr>
          <w:rFonts w:ascii="Arial" w:hAnsi="Arial" w:cs="Arial"/>
          <w:sz w:val="20"/>
          <w:szCs w:val="20"/>
          <w:lang w:val="en"/>
        </w:rPr>
      </w:pPr>
      <w:r w:rsidRPr="00FB4255">
        <w:rPr>
          <w:rFonts w:ascii="Arial" w:eastAsiaTheme="minorEastAsia" w:hAnsi="Arial" w:cs="Arial" w:hint="eastAsia"/>
          <w:sz w:val="20"/>
          <w:szCs w:val="20"/>
        </w:rPr>
        <w:t>相关文章</w:t>
      </w:r>
      <w:r w:rsidRPr="00FB4255">
        <w:rPr>
          <w:rFonts w:ascii="Arial" w:eastAsiaTheme="minorEastAsia" w:hAnsi="Arial" w:cs="Arial"/>
          <w:sz w:val="20"/>
          <w:szCs w:val="20"/>
        </w:rPr>
        <w:t>请见</w:t>
      </w:r>
      <w:r w:rsidR="00971964" w:rsidRPr="00FB4255">
        <w:rPr>
          <w:rFonts w:ascii="Arial" w:eastAsiaTheme="minorEastAsia" w:hAnsi="Arial" w:cs="Arial"/>
          <w:sz w:val="20"/>
          <w:szCs w:val="20"/>
        </w:rPr>
        <w:t>:</w:t>
      </w:r>
      <w:r w:rsidR="00971964">
        <w:rPr>
          <w:rFonts w:ascii="Arial" w:hAnsi="Arial" w:cs="Arial"/>
          <w:sz w:val="20"/>
          <w:szCs w:val="20"/>
          <w:lang w:val="en"/>
        </w:rPr>
        <w:t xml:space="preserve"> </w:t>
      </w:r>
      <w:hyperlink r:id="rId10" w:anchor="tab1" w:history="1">
        <w:r w:rsidR="00971964">
          <w:rPr>
            <w:rStyle w:val="Hyperlink"/>
            <w:rFonts w:ascii="Arial" w:hAnsi="Arial" w:cs="Arial"/>
            <w:sz w:val="20"/>
            <w:szCs w:val="20"/>
            <w:lang w:val="en"/>
          </w:rPr>
          <w:t>http://www.cdc.gov/mmwr/preview/mmwrhtml/mm6452a1.htm?s_cid=mm6452a1_e#tab1</w:t>
        </w:r>
      </w:hyperlink>
      <w:r w:rsidR="00971964">
        <w:rPr>
          <w:rFonts w:ascii="Arial" w:hAnsi="Arial" w:cs="Arial"/>
          <w:sz w:val="20"/>
          <w:szCs w:val="20"/>
          <w:lang w:val="en"/>
        </w:rPr>
        <w:t xml:space="preserve">. </w:t>
      </w:r>
    </w:p>
    <w:p w:rsidR="00971964" w:rsidRDefault="00FB4255" w:rsidP="00971964">
      <w:pPr>
        <w:pStyle w:val="Default"/>
        <w:rPr>
          <w:rFonts w:ascii="Arial" w:hAnsi="Arial" w:cs="Arial"/>
          <w:color w:val="auto"/>
          <w:sz w:val="20"/>
          <w:szCs w:val="20"/>
          <w:lang w:eastAsia="zh-CN"/>
        </w:rPr>
      </w:pPr>
      <w:r>
        <w:rPr>
          <w:rFonts w:ascii="Arial" w:hAnsi="Arial" w:cs="Arial" w:hint="eastAsia"/>
          <w:b/>
          <w:bCs/>
          <w:color w:val="auto"/>
          <w:sz w:val="20"/>
          <w:szCs w:val="20"/>
          <w:u w:val="single"/>
          <w:lang w:val="en" w:eastAsia="zh-CN"/>
        </w:rPr>
        <w:t>《</w:t>
      </w:r>
      <w:r>
        <w:rPr>
          <w:rFonts w:ascii="Arial" w:hAnsi="Arial" w:cs="Arial"/>
          <w:b/>
          <w:bCs/>
          <w:color w:val="auto"/>
          <w:sz w:val="20"/>
          <w:szCs w:val="20"/>
          <w:u w:val="single"/>
          <w:lang w:eastAsia="zh-CN"/>
        </w:rPr>
        <w:t>2015-2020</w:t>
      </w:r>
      <w:r>
        <w:rPr>
          <w:rFonts w:ascii="Arial" w:hAnsi="Arial" w:cs="Arial"/>
          <w:b/>
          <w:bCs/>
          <w:color w:val="auto"/>
          <w:sz w:val="20"/>
          <w:szCs w:val="20"/>
          <w:u w:val="single"/>
          <w:lang w:eastAsia="zh-CN"/>
        </w:rPr>
        <w:t>美国居民膳食指南</w:t>
      </w:r>
      <w:r>
        <w:rPr>
          <w:rFonts w:ascii="Arial" w:hAnsi="Arial" w:cs="Arial" w:hint="eastAsia"/>
          <w:b/>
          <w:bCs/>
          <w:color w:val="auto"/>
          <w:sz w:val="20"/>
          <w:szCs w:val="20"/>
          <w:u w:val="single"/>
          <w:lang w:eastAsia="zh-CN"/>
        </w:rPr>
        <w:t>》正式</w:t>
      </w:r>
      <w:r>
        <w:rPr>
          <w:rFonts w:ascii="Arial" w:hAnsi="Arial" w:cs="Arial"/>
          <w:b/>
          <w:bCs/>
          <w:color w:val="auto"/>
          <w:sz w:val="20"/>
          <w:szCs w:val="20"/>
          <w:u w:val="single"/>
          <w:lang w:eastAsia="zh-CN"/>
        </w:rPr>
        <w:t>发布</w:t>
      </w:r>
      <w:r w:rsidR="00971964">
        <w:rPr>
          <w:rFonts w:ascii="Arial" w:hAnsi="Arial" w:cs="Arial"/>
          <w:color w:val="auto"/>
          <w:sz w:val="20"/>
          <w:szCs w:val="20"/>
          <w:lang w:eastAsia="zh-CN"/>
        </w:rPr>
        <w:br/>
      </w:r>
      <w:r>
        <w:rPr>
          <w:rFonts w:ascii="Arial" w:hAnsi="Arial" w:cs="Arial"/>
          <w:color w:val="auto"/>
          <w:sz w:val="20"/>
          <w:szCs w:val="20"/>
          <w:lang w:eastAsia="zh-CN"/>
        </w:rPr>
        <w:t xml:space="preserve">        </w:t>
      </w:r>
      <w:r>
        <w:rPr>
          <w:rFonts w:ascii="Arial" w:hAnsi="Arial" w:cs="Arial" w:hint="eastAsia"/>
          <w:color w:val="auto"/>
          <w:sz w:val="20"/>
          <w:szCs w:val="20"/>
          <w:lang w:eastAsia="zh-CN"/>
        </w:rPr>
        <w:t>上周</w:t>
      </w:r>
      <w:r>
        <w:rPr>
          <w:rFonts w:ascii="Arial" w:hAnsi="Arial" w:cs="Arial"/>
          <w:color w:val="auto"/>
          <w:sz w:val="20"/>
          <w:szCs w:val="20"/>
          <w:lang w:eastAsia="zh-CN"/>
        </w:rPr>
        <w:t>，美国卫生与人类服务部和美国农业部</w:t>
      </w:r>
      <w:r>
        <w:rPr>
          <w:rFonts w:ascii="Arial" w:hAnsi="Arial" w:cs="Arial" w:hint="eastAsia"/>
          <w:color w:val="auto"/>
          <w:sz w:val="20"/>
          <w:szCs w:val="20"/>
          <w:lang w:eastAsia="zh-CN"/>
        </w:rPr>
        <w:t>联合</w:t>
      </w:r>
      <w:r>
        <w:rPr>
          <w:rFonts w:ascii="Arial" w:hAnsi="Arial" w:cs="Arial"/>
          <w:color w:val="auto"/>
          <w:sz w:val="20"/>
          <w:szCs w:val="20"/>
          <w:lang w:eastAsia="zh-CN"/>
        </w:rPr>
        <w:t>发布</w:t>
      </w:r>
      <w:r>
        <w:rPr>
          <w:rFonts w:ascii="Arial" w:hAnsi="Arial" w:cs="Arial" w:hint="eastAsia"/>
          <w:color w:val="auto"/>
          <w:sz w:val="20"/>
          <w:szCs w:val="20"/>
          <w:lang w:eastAsia="zh-CN"/>
        </w:rPr>
        <w:t>了《</w:t>
      </w:r>
      <w:r>
        <w:rPr>
          <w:rFonts w:ascii="Arial" w:hAnsi="Arial" w:cs="Arial"/>
          <w:color w:val="auto"/>
          <w:sz w:val="20"/>
          <w:szCs w:val="20"/>
          <w:lang w:eastAsia="zh-CN"/>
        </w:rPr>
        <w:t>2015-2020</w:t>
      </w:r>
      <w:r>
        <w:rPr>
          <w:rFonts w:ascii="Arial" w:hAnsi="Arial" w:cs="Arial"/>
          <w:color w:val="auto"/>
          <w:sz w:val="20"/>
          <w:szCs w:val="20"/>
          <w:lang w:eastAsia="zh-CN"/>
        </w:rPr>
        <w:t>美国居民</w:t>
      </w:r>
      <w:r>
        <w:rPr>
          <w:rFonts w:ascii="Arial" w:hAnsi="Arial" w:cs="Arial" w:hint="eastAsia"/>
          <w:color w:val="auto"/>
          <w:sz w:val="20"/>
          <w:szCs w:val="20"/>
          <w:lang w:eastAsia="zh-CN"/>
        </w:rPr>
        <w:t>膳食</w:t>
      </w:r>
      <w:r>
        <w:rPr>
          <w:rFonts w:ascii="Arial" w:hAnsi="Arial" w:cs="Arial"/>
          <w:color w:val="auto"/>
          <w:sz w:val="20"/>
          <w:szCs w:val="20"/>
          <w:lang w:eastAsia="zh-CN"/>
        </w:rPr>
        <w:t>指南》</w:t>
      </w:r>
      <w:r w:rsidR="00571BCF">
        <w:rPr>
          <w:rFonts w:ascii="Arial" w:hAnsi="Arial" w:cs="Arial" w:hint="eastAsia"/>
          <w:color w:val="auto"/>
          <w:sz w:val="20"/>
          <w:szCs w:val="20"/>
          <w:lang w:eastAsia="zh-CN"/>
        </w:rPr>
        <w:t>。</w:t>
      </w:r>
      <w:r w:rsidR="00571BCF">
        <w:rPr>
          <w:rFonts w:ascii="Arial" w:hAnsi="Arial" w:cs="Arial"/>
          <w:color w:val="auto"/>
          <w:sz w:val="20"/>
          <w:szCs w:val="20"/>
          <w:lang w:eastAsia="zh-CN"/>
        </w:rPr>
        <w:t>与</w:t>
      </w:r>
      <w:r w:rsidR="00571BCF">
        <w:rPr>
          <w:rFonts w:ascii="Arial" w:hAnsi="Arial" w:cs="Arial" w:hint="eastAsia"/>
          <w:color w:val="auto"/>
          <w:sz w:val="20"/>
          <w:szCs w:val="20"/>
          <w:lang w:eastAsia="zh-CN"/>
        </w:rPr>
        <w:t>其它</w:t>
      </w:r>
      <w:r w:rsidR="00571BCF">
        <w:rPr>
          <w:rFonts w:ascii="Arial" w:hAnsi="Arial" w:cs="Arial"/>
          <w:color w:val="auto"/>
          <w:sz w:val="20"/>
          <w:szCs w:val="20"/>
          <w:lang w:eastAsia="zh-CN"/>
        </w:rPr>
        <w:t>建</w:t>
      </w:r>
      <w:r w:rsidR="00571BCF">
        <w:rPr>
          <w:rFonts w:ascii="Arial" w:hAnsi="Arial" w:cs="Arial"/>
          <w:color w:val="auto"/>
          <w:sz w:val="20"/>
          <w:szCs w:val="20"/>
          <w:lang w:eastAsia="zh-CN"/>
        </w:rPr>
        <w:lastRenderedPageBreak/>
        <w:t>议一样，该指南建议美国</w:t>
      </w:r>
      <w:r w:rsidR="00571BCF">
        <w:rPr>
          <w:rFonts w:ascii="Arial" w:hAnsi="Arial" w:cs="Arial" w:hint="eastAsia"/>
          <w:color w:val="auto"/>
          <w:sz w:val="20"/>
          <w:szCs w:val="20"/>
          <w:lang w:eastAsia="zh-CN"/>
        </w:rPr>
        <w:t>成人</w:t>
      </w:r>
      <w:r w:rsidR="00571BCF">
        <w:rPr>
          <w:rFonts w:ascii="Arial" w:hAnsi="Arial" w:cs="Arial"/>
          <w:color w:val="auto"/>
          <w:sz w:val="20"/>
          <w:szCs w:val="20"/>
          <w:lang w:eastAsia="zh-CN"/>
        </w:rPr>
        <w:t>每日钠摄入量不应超过</w:t>
      </w:r>
      <w:r w:rsidR="00571BCF">
        <w:rPr>
          <w:rFonts w:ascii="Arial" w:hAnsi="Arial" w:cs="Arial"/>
          <w:color w:val="auto"/>
          <w:sz w:val="20"/>
          <w:szCs w:val="20"/>
          <w:lang w:eastAsia="zh-CN"/>
        </w:rPr>
        <w:t>2300</w:t>
      </w:r>
      <w:r w:rsidR="00571BCF">
        <w:rPr>
          <w:rFonts w:ascii="Arial" w:hAnsi="Arial" w:cs="Arial"/>
          <w:color w:val="auto"/>
          <w:sz w:val="20"/>
          <w:szCs w:val="20"/>
          <w:lang w:eastAsia="zh-CN"/>
        </w:rPr>
        <w:t>毫克。</w:t>
      </w:r>
      <w:r w:rsidR="00571BCF">
        <w:rPr>
          <w:rFonts w:ascii="Arial" w:hAnsi="Arial" w:cs="Arial" w:hint="eastAsia"/>
          <w:color w:val="auto"/>
          <w:sz w:val="20"/>
          <w:szCs w:val="20"/>
          <w:lang w:eastAsia="zh-CN"/>
        </w:rPr>
        <w:t>全文</w:t>
      </w:r>
      <w:r w:rsidR="00571BCF">
        <w:rPr>
          <w:rFonts w:ascii="Arial" w:hAnsi="Arial" w:cs="Arial"/>
          <w:color w:val="auto"/>
          <w:sz w:val="20"/>
          <w:szCs w:val="20"/>
          <w:lang w:eastAsia="zh-CN"/>
        </w:rPr>
        <w:t>请见如下链接：</w:t>
      </w:r>
      <w:r w:rsidR="00971964">
        <w:rPr>
          <w:rFonts w:ascii="Arial" w:hAnsi="Arial" w:cs="Arial"/>
          <w:color w:val="auto"/>
          <w:sz w:val="20"/>
          <w:szCs w:val="20"/>
          <w:lang w:eastAsia="zh-CN"/>
        </w:rPr>
        <w:t xml:space="preserve"> </w:t>
      </w:r>
      <w:hyperlink r:id="rId11" w:history="1">
        <w:r w:rsidR="00971964">
          <w:rPr>
            <w:rStyle w:val="Hyperlink"/>
            <w:rFonts w:ascii="Arial" w:hAnsi="Arial" w:cs="Arial"/>
            <w:sz w:val="20"/>
            <w:szCs w:val="20"/>
            <w:lang w:eastAsia="zh-CN"/>
          </w:rPr>
          <w:t>http://health.gov/dietaryguidelines/2015/guidelines/</w:t>
        </w:r>
      </w:hyperlink>
      <w:r w:rsidR="00971964">
        <w:rPr>
          <w:rFonts w:ascii="Arial" w:hAnsi="Arial" w:cs="Arial"/>
          <w:color w:val="auto"/>
          <w:sz w:val="20"/>
          <w:szCs w:val="20"/>
          <w:lang w:eastAsia="zh-CN"/>
        </w:rPr>
        <w:t xml:space="preserve">. </w:t>
      </w:r>
    </w:p>
    <w:p w:rsidR="00971964" w:rsidRDefault="00971964" w:rsidP="00971964">
      <w:pPr>
        <w:pStyle w:val="Default"/>
        <w:rPr>
          <w:rFonts w:ascii="Arial" w:hAnsi="Arial" w:cs="Arial"/>
          <w:color w:val="auto"/>
          <w:sz w:val="20"/>
          <w:szCs w:val="20"/>
          <w:lang w:eastAsia="zh-CN"/>
        </w:rPr>
      </w:pPr>
    </w:p>
    <w:p w:rsidR="00971964" w:rsidRDefault="00971964" w:rsidP="00971964">
      <w:pPr>
        <w:spacing w:line="252" w:lineRule="auto"/>
        <w:rPr>
          <w:rFonts w:ascii="Arial" w:hAnsi="Arial" w:cs="Arial"/>
          <w:sz w:val="20"/>
          <w:szCs w:val="20"/>
        </w:rPr>
      </w:pPr>
    </w:p>
    <w:p w:rsidR="00971964" w:rsidRDefault="00FB4255" w:rsidP="00F14750">
      <w:pPr>
        <w:adjustRightInd w:val="0"/>
        <w:snapToGrid w:val="0"/>
        <w:spacing w:afterLines="50" w:after="120"/>
        <w:rPr>
          <w:rFonts w:ascii="Arial" w:eastAsiaTheme="minorEastAsia" w:hAnsi="Arial" w:cs="Arial" w:hint="eastAsia"/>
          <w:sz w:val="20"/>
          <w:szCs w:val="20"/>
        </w:rPr>
      </w:pPr>
      <w:r w:rsidRPr="00FB4255">
        <w:rPr>
          <w:rFonts w:ascii="Arial" w:eastAsiaTheme="minorEastAsia" w:hAnsi="Arial" w:cs="Arial" w:hint="eastAsia"/>
          <w:sz w:val="20"/>
          <w:szCs w:val="20"/>
        </w:rPr>
        <w:t>感谢</w:t>
      </w:r>
      <w:r w:rsidRPr="00FB4255">
        <w:rPr>
          <w:rFonts w:ascii="Arial" w:eastAsiaTheme="minorEastAsia" w:hAnsi="Arial" w:cs="Arial"/>
          <w:sz w:val="20"/>
          <w:szCs w:val="20"/>
        </w:rPr>
        <w:t>您一直</w:t>
      </w:r>
      <w:r w:rsidRPr="00FB4255">
        <w:rPr>
          <w:rFonts w:ascii="Arial" w:eastAsiaTheme="minorEastAsia" w:hAnsi="Arial" w:cs="Arial" w:hint="eastAsia"/>
          <w:sz w:val="20"/>
          <w:szCs w:val="20"/>
        </w:rPr>
        <w:t>以来</w:t>
      </w:r>
      <w:r>
        <w:rPr>
          <w:rFonts w:ascii="Arial" w:eastAsiaTheme="minorEastAsia" w:hAnsi="Arial" w:cs="Arial" w:hint="eastAsia"/>
          <w:sz w:val="20"/>
          <w:szCs w:val="20"/>
        </w:rPr>
        <w:t>对</w:t>
      </w:r>
      <w:r>
        <w:rPr>
          <w:rFonts w:ascii="Arial" w:eastAsiaTheme="minorEastAsia" w:hAnsi="Arial" w:cs="Arial"/>
          <w:sz w:val="20"/>
          <w:szCs w:val="20"/>
        </w:rPr>
        <w:t>减盐</w:t>
      </w:r>
      <w:r>
        <w:rPr>
          <w:rFonts w:ascii="Arial" w:eastAsiaTheme="minorEastAsia" w:hAnsi="Arial" w:cs="Arial" w:hint="eastAsia"/>
          <w:sz w:val="20"/>
          <w:szCs w:val="20"/>
        </w:rPr>
        <w:t>活动</w:t>
      </w:r>
      <w:r>
        <w:rPr>
          <w:rFonts w:ascii="Arial" w:eastAsiaTheme="minorEastAsia" w:hAnsi="Arial" w:cs="Arial"/>
          <w:sz w:val="20"/>
          <w:szCs w:val="20"/>
        </w:rPr>
        <w:t>的支持。</w:t>
      </w:r>
    </w:p>
    <w:p w:rsidR="00FB4255" w:rsidRPr="00FB4255" w:rsidRDefault="00FB4255" w:rsidP="00F14750">
      <w:pPr>
        <w:adjustRightInd w:val="0"/>
        <w:snapToGrid w:val="0"/>
        <w:spacing w:afterLines="50" w:after="120"/>
        <w:rPr>
          <w:rFonts w:ascii="Arial" w:eastAsiaTheme="minorEastAsia" w:hAnsi="Arial" w:cs="Arial" w:hint="eastAsia"/>
          <w:sz w:val="20"/>
          <w:szCs w:val="20"/>
        </w:rPr>
      </w:pPr>
    </w:p>
    <w:p w:rsidR="00E1357F" w:rsidRDefault="00E1357F" w:rsidP="00B24E61">
      <w:pPr>
        <w:spacing w:after="120" w:line="360" w:lineRule="auto"/>
        <w:ind w:right="300"/>
        <w:rPr>
          <w:rFonts w:ascii="Arial" w:hAnsi="Arial" w:cs="Arial"/>
          <w:iCs/>
          <w:sz w:val="20"/>
          <w:szCs w:val="20"/>
        </w:rPr>
      </w:pPr>
      <w:r>
        <w:rPr>
          <w:rFonts w:ascii="Arial" w:hAnsi="Arial" w:cs="Arial" w:hint="eastAsia"/>
          <w:iCs/>
          <w:sz w:val="20"/>
          <w:szCs w:val="20"/>
        </w:rPr>
        <w:t>请注意：</w:t>
      </w:r>
    </w:p>
    <w:p w:rsidR="00E1357F" w:rsidRDefault="00E1357F" w:rsidP="00B24E61">
      <w:pPr>
        <w:pStyle w:val="NormalWeb"/>
        <w:tabs>
          <w:tab w:val="left" w:pos="851"/>
        </w:tabs>
        <w:spacing w:afterLines="50" w:after="120" w:line="360" w:lineRule="auto"/>
        <w:ind w:firstLineChars="200" w:firstLine="400"/>
        <w:jc w:val="both"/>
        <w:rPr>
          <w:rFonts w:ascii="Arial" w:hAnsi="Arial" w:cs="Arial"/>
          <w:iCs/>
          <w:sz w:val="20"/>
          <w:szCs w:val="20"/>
        </w:rPr>
      </w:pPr>
      <w:r>
        <w:rPr>
          <w:rFonts w:ascii="Arial" w:hAnsi="Arial" w:cs="Arial" w:hint="eastAsia"/>
          <w:iCs/>
          <w:sz w:val="20"/>
          <w:szCs w:val="20"/>
        </w:rPr>
        <w:t>本简讯英文版由美国疾病预防控制中心发布，中文版由骄阳翻译公司翻译，如有歧义，请以英文版本为准。</w:t>
      </w:r>
      <w:r>
        <w:rPr>
          <w:rFonts w:ascii="Arial" w:hAnsi="Arial" w:cs="Arial"/>
          <w:iCs/>
          <w:sz w:val="20"/>
          <w:szCs w:val="20"/>
        </w:rPr>
        <w:t> </w:t>
      </w:r>
    </w:p>
    <w:p w:rsidR="00E1357F" w:rsidRDefault="00E1357F" w:rsidP="00B24E61">
      <w:pPr>
        <w:pStyle w:val="NormalWeb"/>
        <w:tabs>
          <w:tab w:val="left" w:pos="851"/>
        </w:tabs>
        <w:spacing w:afterLines="50" w:after="120" w:line="360" w:lineRule="auto"/>
        <w:ind w:firstLineChars="200" w:firstLine="400"/>
        <w:jc w:val="both"/>
        <w:rPr>
          <w:rFonts w:ascii="Arial" w:hAnsi="Arial" w:cs="Arial"/>
          <w:iCs/>
          <w:sz w:val="20"/>
          <w:szCs w:val="20"/>
        </w:rPr>
      </w:pPr>
      <w:r>
        <w:rPr>
          <w:rFonts w:ascii="Arial" w:hAnsi="Arial" w:cs="Arial" w:hint="eastAsia"/>
          <w:iCs/>
          <w:sz w:val="20"/>
          <w:szCs w:val="20"/>
        </w:rPr>
        <w:t>该信息为与减钠的相关伙伴机构和个人分享将正在进行的减钠活动信息。目的是为相关同仁提供持续更新的信息，并为对减钠工作感兴趣或致力于减钠工作的个人或机构创建一个合作网络。《减盐电子周刊》将每两周发布一期，如果你知道一些应该添加进来的人，或者你希望被从该通信人中删除，请联系蔡颖女士</w:t>
      </w:r>
      <w:r>
        <w:rPr>
          <w:rFonts w:ascii="Arial" w:hAnsi="Arial" w:cs="Arial"/>
          <w:iCs/>
          <w:sz w:val="20"/>
          <w:szCs w:val="20"/>
        </w:rPr>
        <w:t>(</w:t>
      </w:r>
      <w:hyperlink r:id="rId12" w:history="1">
        <w:r>
          <w:rPr>
            <w:rStyle w:val="Hyperlink"/>
            <w:rFonts w:ascii="Arial" w:hAnsi="Arial" w:cs="Arial"/>
            <w:iCs/>
            <w:sz w:val="20"/>
            <w:szCs w:val="20"/>
          </w:rPr>
          <w:t>caiy@cn.cdc.gov)</w:t>
        </w:r>
      </w:hyperlink>
      <w:r>
        <w:rPr>
          <w:rFonts w:ascii="Arial" w:hAnsi="Arial" w:cs="Arial" w:hint="eastAsia"/>
          <w:iCs/>
          <w:sz w:val="20"/>
          <w:szCs w:val="20"/>
        </w:rPr>
        <w:t>。</w:t>
      </w:r>
    </w:p>
    <w:p w:rsidR="00E1357F" w:rsidRDefault="00E1357F" w:rsidP="00B24E61">
      <w:pPr>
        <w:pStyle w:val="NormalWeb"/>
        <w:tabs>
          <w:tab w:val="left" w:pos="851"/>
        </w:tabs>
        <w:spacing w:afterLines="50" w:after="120" w:line="360" w:lineRule="auto"/>
        <w:ind w:firstLineChars="200" w:firstLine="400"/>
        <w:jc w:val="both"/>
        <w:rPr>
          <w:rFonts w:ascii="Arial" w:hAnsi="Arial" w:cs="Arial"/>
          <w:iCs/>
          <w:sz w:val="20"/>
          <w:szCs w:val="20"/>
        </w:rPr>
      </w:pPr>
      <w:r>
        <w:rPr>
          <w:rFonts w:ascii="Arial" w:hAnsi="Arial" w:cs="Arial" w:hint="eastAsia"/>
          <w:iCs/>
          <w:sz w:val="20"/>
          <w:szCs w:val="20"/>
        </w:rPr>
        <w:t>《减盐电子周刊》在内容上只基于新闻价值和读者的潜在兴趣进行选择。美国疾病预防控制中心对所提供文章的真实准确性不承担任何责任。文章的选择、省略或文章内容并不意味着美国疾病预防控制中心对其内容有支持或其它观点。《减盐电子周刊》中原作者的观点或者引用，完全是其个人观点，绝不代表美国疾病预防控制中心的官方立场。所提及的产品、商业名称、出版物、新闻来源以及网站等，仅作参考之用，并不意味着美国疾病预防控制中心的认可。</w:t>
      </w:r>
    </w:p>
    <w:p w:rsidR="002504BC" w:rsidRDefault="002504BC" w:rsidP="002504BC">
      <w:pPr>
        <w:pStyle w:val="NoSpacing"/>
        <w:spacing w:after="240"/>
        <w:rPr>
          <w:rFonts w:ascii="Arial" w:hAnsi="Arial" w:cs="Arial"/>
          <w:sz w:val="20"/>
          <w:szCs w:val="20"/>
        </w:rPr>
      </w:pPr>
      <w:r>
        <w:rPr>
          <w:rFonts w:ascii="Arial" w:hAnsi="Arial" w:cs="Arial"/>
          <w:sz w:val="20"/>
          <w:szCs w:val="20"/>
        </w:rPr>
        <w:t>Hello –</w:t>
      </w:r>
    </w:p>
    <w:p w:rsidR="002504BC" w:rsidRDefault="002504BC" w:rsidP="002504BC">
      <w:pPr>
        <w:pStyle w:val="NoSpacing"/>
        <w:spacing w:after="240"/>
        <w:rPr>
          <w:rFonts w:ascii="Arial" w:hAnsi="Arial" w:cs="Arial"/>
          <w:sz w:val="20"/>
          <w:szCs w:val="20"/>
        </w:rPr>
      </w:pPr>
      <w:r>
        <w:rPr>
          <w:rFonts w:ascii="Arial" w:hAnsi="Arial" w:cs="Arial"/>
          <w:sz w:val="20"/>
          <w:szCs w:val="20"/>
        </w:rPr>
        <w:t xml:space="preserve">This week’s CDC Salt e-Update includes a new Funding Opportunity Announcement, new research on sodium intake, and the 2015 – 2020 </w:t>
      </w:r>
      <w:r>
        <w:rPr>
          <w:rFonts w:ascii="Arial" w:hAnsi="Arial" w:cs="Arial"/>
          <w:i/>
          <w:iCs/>
          <w:sz w:val="20"/>
          <w:szCs w:val="20"/>
        </w:rPr>
        <w:t>Dietary Guidelines for Americans</w:t>
      </w:r>
      <w:r>
        <w:rPr>
          <w:rFonts w:ascii="Arial" w:hAnsi="Arial" w:cs="Arial"/>
          <w:sz w:val="20"/>
          <w:szCs w:val="20"/>
        </w:rPr>
        <w:t xml:space="preserve"> recommendation for sodium intake. </w:t>
      </w:r>
    </w:p>
    <w:p w:rsidR="002504BC" w:rsidRDefault="002504BC" w:rsidP="002504BC">
      <w:pPr>
        <w:autoSpaceDE w:val="0"/>
        <w:autoSpaceDN w:val="0"/>
        <w:rPr>
          <w:rFonts w:ascii="Arial" w:hAnsi="Arial" w:cs="Arial"/>
          <w:sz w:val="20"/>
          <w:szCs w:val="20"/>
          <w:lang w:eastAsia="en-US"/>
        </w:rPr>
      </w:pPr>
      <w:r>
        <w:rPr>
          <w:rFonts w:ascii="Arial" w:hAnsi="Arial" w:cs="Arial"/>
          <w:b/>
          <w:bCs/>
          <w:sz w:val="20"/>
          <w:szCs w:val="20"/>
          <w:u w:val="single"/>
        </w:rPr>
        <w:t>New Sodium Reduction in Communities Program Funding Opportunity Announcement</w:t>
      </w:r>
      <w:r>
        <w:rPr>
          <w:rFonts w:ascii="Arial" w:hAnsi="Arial" w:cs="Arial"/>
          <w:b/>
          <w:bCs/>
          <w:sz w:val="20"/>
          <w:szCs w:val="20"/>
          <w:u w:val="single"/>
        </w:rPr>
        <w:br/>
      </w:r>
      <w:bookmarkStart w:id="1" w:name="_Partner_Support_for"/>
      <w:bookmarkEnd w:id="1"/>
      <w:r>
        <w:rPr>
          <w:rFonts w:ascii="Arial" w:hAnsi="Arial" w:cs="Arial"/>
          <w:sz w:val="20"/>
          <w:szCs w:val="20"/>
        </w:rPr>
        <w:t>On Monday, CDC released Funding Opportunity Announcement (FOA) DP16-1607: Sodium Reduction in Communities Program.</w:t>
      </w:r>
      <w:r>
        <w:rPr>
          <w:rFonts w:ascii="Arial" w:hAnsi="Arial" w:cs="Arial"/>
          <w:b/>
          <w:bCs/>
          <w:sz w:val="20"/>
          <w:szCs w:val="20"/>
        </w:rPr>
        <w:t xml:space="preserve"> </w:t>
      </w:r>
      <w:r>
        <w:rPr>
          <w:rFonts w:ascii="Arial" w:hAnsi="Arial" w:cs="Arial"/>
          <w:sz w:val="20"/>
          <w:szCs w:val="20"/>
        </w:rPr>
        <w:t xml:space="preserve">Through this FOA, CDC plans to award approximately $15 million over a five year period to implement and evaluate promising, broad-reaching, and sustainable strategies while engaging food sector collaborators to facilitate sodium reductions in commercially processed and restaurant foods. The FOA also aims to increase the following. </w:t>
      </w:r>
    </w:p>
    <w:p w:rsidR="002504BC" w:rsidRDefault="002504BC" w:rsidP="002504BC">
      <w:pPr>
        <w:numPr>
          <w:ilvl w:val="0"/>
          <w:numId w:val="6"/>
        </w:numPr>
        <w:spacing w:before="100" w:beforeAutospacing="1" w:after="100" w:afterAutospacing="1"/>
        <w:ind w:left="840" w:right="120"/>
        <w:rPr>
          <w:rFonts w:ascii="Arial" w:hAnsi="Arial" w:cs="Arial"/>
          <w:sz w:val="20"/>
          <w:szCs w:val="20"/>
        </w:rPr>
      </w:pPr>
      <w:r>
        <w:rPr>
          <w:rFonts w:ascii="Arial" w:hAnsi="Arial" w:cs="Arial"/>
          <w:sz w:val="20"/>
          <w:szCs w:val="20"/>
        </w:rPr>
        <w:t>Implementation of food service guidelines or standards that include sodium, food preparation practices to reduce sodium content in meals and/or menu items, and environmental strategies/behavioral economics approaches;</w:t>
      </w:r>
    </w:p>
    <w:p w:rsidR="002504BC" w:rsidRDefault="002504BC" w:rsidP="002504BC">
      <w:pPr>
        <w:numPr>
          <w:ilvl w:val="0"/>
          <w:numId w:val="6"/>
        </w:numPr>
        <w:spacing w:before="100" w:beforeAutospacing="1" w:after="100" w:afterAutospacing="1"/>
        <w:ind w:left="840" w:right="120"/>
        <w:rPr>
          <w:rFonts w:ascii="Arial" w:hAnsi="Arial" w:cs="Arial"/>
          <w:sz w:val="20"/>
          <w:szCs w:val="20"/>
        </w:rPr>
      </w:pPr>
      <w:r>
        <w:rPr>
          <w:rFonts w:ascii="Arial" w:hAnsi="Arial" w:cs="Arial"/>
          <w:sz w:val="20"/>
          <w:szCs w:val="20"/>
        </w:rPr>
        <w:t>Integration of procurement practices to reduce sodium content in purchased items;</w:t>
      </w:r>
    </w:p>
    <w:p w:rsidR="002504BC" w:rsidRDefault="002504BC" w:rsidP="002504BC">
      <w:pPr>
        <w:numPr>
          <w:ilvl w:val="0"/>
          <w:numId w:val="6"/>
        </w:numPr>
        <w:spacing w:before="100" w:beforeAutospacing="1" w:after="100" w:afterAutospacing="1"/>
        <w:ind w:left="840" w:right="120"/>
        <w:rPr>
          <w:rFonts w:ascii="Arial" w:hAnsi="Arial" w:cs="Arial"/>
          <w:sz w:val="20"/>
          <w:szCs w:val="20"/>
        </w:rPr>
      </w:pPr>
      <w:r>
        <w:rPr>
          <w:rFonts w:ascii="Arial" w:hAnsi="Arial" w:cs="Arial"/>
          <w:sz w:val="20"/>
          <w:szCs w:val="20"/>
        </w:rPr>
        <w:t>Availability of lower sodium food products; and</w:t>
      </w:r>
    </w:p>
    <w:p w:rsidR="002504BC" w:rsidRDefault="002504BC" w:rsidP="002504BC">
      <w:pPr>
        <w:numPr>
          <w:ilvl w:val="0"/>
          <w:numId w:val="6"/>
        </w:numPr>
        <w:spacing w:before="100" w:beforeAutospacing="1" w:after="100" w:afterAutospacing="1"/>
        <w:ind w:left="840" w:right="120"/>
        <w:rPr>
          <w:rFonts w:ascii="Arial" w:hAnsi="Arial" w:cs="Arial"/>
          <w:sz w:val="20"/>
          <w:szCs w:val="20"/>
        </w:rPr>
      </w:pPr>
      <w:r>
        <w:rPr>
          <w:rFonts w:ascii="Arial" w:hAnsi="Arial" w:cs="Arial"/>
          <w:sz w:val="20"/>
          <w:szCs w:val="20"/>
        </w:rPr>
        <w:t>Purchase or selection of lower sodium food products and/or ingredients by either consumers or large food service operators.</w:t>
      </w:r>
    </w:p>
    <w:p w:rsidR="002504BC" w:rsidRDefault="002504BC" w:rsidP="002504BC">
      <w:pPr>
        <w:autoSpaceDE w:val="0"/>
        <w:autoSpaceDN w:val="0"/>
        <w:rPr>
          <w:rFonts w:ascii="Arial" w:hAnsi="Arial" w:cs="Arial"/>
          <w:sz w:val="20"/>
          <w:szCs w:val="20"/>
        </w:rPr>
      </w:pPr>
      <w:r>
        <w:rPr>
          <w:rFonts w:ascii="Arial" w:hAnsi="Arial" w:cs="Arial"/>
          <w:sz w:val="20"/>
          <w:szCs w:val="20"/>
        </w:rPr>
        <w:t xml:space="preserve">The anticipated start date is September 30, 2016 for this five-year cooperative agreement, and applications are due March 15, 2016. Applicants should have demonstrated ability to develop and implement public health strategies to improve nutrition, and capacity to reach at least 500,000 people. More information may be found here: </w:t>
      </w:r>
      <w:hyperlink r:id="rId13" w:history="1">
        <w:r>
          <w:rPr>
            <w:rStyle w:val="Hyperlink"/>
            <w:rFonts w:ascii="Arial" w:hAnsi="Arial" w:cs="Arial"/>
            <w:sz w:val="20"/>
            <w:szCs w:val="20"/>
          </w:rPr>
          <w:t>http://www.grants.gov/web/grants/view-opportunity.html?oppId=280919</w:t>
        </w:r>
      </w:hyperlink>
      <w:r>
        <w:rPr>
          <w:rFonts w:ascii="Arial" w:hAnsi="Arial" w:cs="Arial"/>
          <w:sz w:val="20"/>
          <w:szCs w:val="20"/>
        </w:rPr>
        <w:t xml:space="preserve">.  CDC will host an Informational Teleconference to answer questions </w:t>
      </w:r>
      <w:r>
        <w:rPr>
          <w:rFonts w:ascii="Arial" w:hAnsi="Arial" w:cs="Arial"/>
          <w:sz w:val="20"/>
          <w:szCs w:val="20"/>
        </w:rPr>
        <w:lastRenderedPageBreak/>
        <w:t xml:space="preserve">about the FOA at 3:30 PM (ET) on January 28th, 2016. Please join by calling Toll Number: </w:t>
      </w:r>
      <w:r>
        <w:rPr>
          <w:rStyle w:val="baec5a81-e4d6-4674-97f3-e9220f0136c1"/>
          <w:rFonts w:ascii="Arial" w:hAnsi="Arial" w:cs="Arial"/>
          <w:sz w:val="20"/>
          <w:szCs w:val="20"/>
        </w:rPr>
        <w:t>1-210-234-0044</w:t>
      </w:r>
      <w:r>
        <w:rPr>
          <w:rFonts w:ascii="Arial" w:hAnsi="Arial" w:cs="Arial"/>
          <w:sz w:val="20"/>
          <w:szCs w:val="20"/>
        </w:rPr>
        <w:t xml:space="preserve">; or Toll Free Number: </w:t>
      </w:r>
      <w:r>
        <w:rPr>
          <w:rStyle w:val="baec5a81-e4d6-4674-97f3-e9220f0136c1"/>
          <w:rFonts w:ascii="Arial" w:hAnsi="Arial" w:cs="Arial"/>
          <w:sz w:val="20"/>
          <w:szCs w:val="20"/>
        </w:rPr>
        <w:t>888-810-4938</w:t>
      </w:r>
      <w:r>
        <w:rPr>
          <w:rFonts w:ascii="Arial" w:hAnsi="Arial" w:cs="Arial"/>
          <w:sz w:val="20"/>
          <w:szCs w:val="20"/>
        </w:rPr>
        <w:t>; Participant passcode: 8344668.</w:t>
      </w:r>
    </w:p>
    <w:p w:rsidR="002504BC" w:rsidRDefault="002504BC" w:rsidP="002504BC">
      <w:pPr>
        <w:autoSpaceDE w:val="0"/>
        <w:autoSpaceDN w:val="0"/>
        <w:rPr>
          <w:rFonts w:ascii="Arial" w:hAnsi="Arial" w:cs="Arial"/>
          <w:sz w:val="20"/>
          <w:szCs w:val="20"/>
        </w:rPr>
      </w:pPr>
    </w:p>
    <w:p w:rsidR="002504BC" w:rsidRDefault="002504BC" w:rsidP="002504BC">
      <w:pPr>
        <w:autoSpaceDE w:val="0"/>
        <w:autoSpaceDN w:val="0"/>
        <w:rPr>
          <w:rFonts w:ascii="Arial" w:hAnsi="Arial" w:cs="Arial"/>
          <w:b/>
          <w:bCs/>
          <w:sz w:val="20"/>
          <w:szCs w:val="20"/>
          <w:u w:val="single"/>
        </w:rPr>
      </w:pPr>
      <w:r>
        <w:rPr>
          <w:rFonts w:ascii="Arial" w:hAnsi="Arial" w:cs="Arial"/>
          <w:b/>
          <w:bCs/>
          <w:sz w:val="20"/>
          <w:szCs w:val="20"/>
          <w:u w:val="single"/>
        </w:rPr>
        <w:t xml:space="preserve">Americans Still Consuming Excess Sodium, New Findings Indicate </w:t>
      </w:r>
    </w:p>
    <w:p w:rsidR="002504BC" w:rsidRDefault="002504BC" w:rsidP="002504BC">
      <w:pPr>
        <w:pStyle w:val="Default"/>
        <w:rPr>
          <w:rFonts w:ascii="Arial" w:hAnsi="Arial" w:cs="Arial"/>
          <w:color w:val="auto"/>
          <w:sz w:val="20"/>
          <w:szCs w:val="20"/>
        </w:rPr>
      </w:pPr>
      <w:r>
        <w:rPr>
          <w:rFonts w:ascii="Arial" w:hAnsi="Arial" w:cs="Arial"/>
          <w:color w:val="auto"/>
          <w:sz w:val="20"/>
          <w:szCs w:val="20"/>
        </w:rPr>
        <w:t xml:space="preserve">Findings in a recent </w:t>
      </w:r>
      <w:r>
        <w:rPr>
          <w:rFonts w:ascii="Arial" w:hAnsi="Arial" w:cs="Arial"/>
          <w:i/>
          <w:iCs/>
          <w:color w:val="auto"/>
          <w:sz w:val="20"/>
          <w:szCs w:val="20"/>
        </w:rPr>
        <w:t>Morbidity and Mortality Weekly Report</w:t>
      </w:r>
      <w:r>
        <w:rPr>
          <w:rFonts w:ascii="Arial" w:hAnsi="Arial" w:cs="Arial"/>
          <w:color w:val="auto"/>
          <w:sz w:val="20"/>
          <w:szCs w:val="20"/>
        </w:rPr>
        <w:t xml:space="preserve"> (MMWR) indicate that most Americans are still consuming excess sodium, regardless of dietary guidelines recommendations or existing health conditions. The report, “Prevalence of Excess Sodium Intake in the United States — NHANES, 2009–2012” examined the prevalence of excess sodium intake in relation to the 2015 - 2020 </w:t>
      </w:r>
      <w:r>
        <w:rPr>
          <w:rFonts w:ascii="Arial" w:hAnsi="Arial" w:cs="Arial"/>
          <w:i/>
          <w:iCs/>
          <w:color w:val="auto"/>
          <w:sz w:val="20"/>
          <w:szCs w:val="20"/>
        </w:rPr>
        <w:t>Dietary Guidelines for Americans</w:t>
      </w:r>
      <w:r>
        <w:rPr>
          <w:rFonts w:ascii="Arial" w:hAnsi="Arial" w:cs="Arial"/>
          <w:color w:val="auto"/>
          <w:sz w:val="20"/>
          <w:szCs w:val="20"/>
        </w:rPr>
        <w:t xml:space="preserve"> recommendations. Results also indicate the following for </w:t>
      </w:r>
      <w:r>
        <w:rPr>
          <w:rFonts w:ascii="Arial" w:hAnsi="Arial" w:cs="Arial"/>
          <w:color w:val="auto"/>
          <w:sz w:val="20"/>
          <w:szCs w:val="20"/>
          <w:lang w:val="en"/>
        </w:rPr>
        <w:t>2009–2012</w:t>
      </w:r>
      <w:r>
        <w:rPr>
          <w:rFonts w:ascii="Arial" w:hAnsi="Arial" w:cs="Arial"/>
          <w:color w:val="auto"/>
          <w:sz w:val="20"/>
          <w:szCs w:val="20"/>
        </w:rPr>
        <w:t xml:space="preserve">. </w:t>
      </w:r>
    </w:p>
    <w:p w:rsidR="002504BC" w:rsidRDefault="002504BC" w:rsidP="002504BC">
      <w:pPr>
        <w:pStyle w:val="ListParagraph"/>
        <w:numPr>
          <w:ilvl w:val="0"/>
          <w:numId w:val="7"/>
        </w:numPr>
        <w:spacing w:before="100" w:beforeAutospacing="1" w:after="100" w:afterAutospacing="1"/>
        <w:rPr>
          <w:rFonts w:ascii="Arial" w:hAnsi="Arial" w:cs="Arial"/>
          <w:sz w:val="20"/>
          <w:szCs w:val="20"/>
          <w:lang w:val="en"/>
        </w:rPr>
      </w:pPr>
      <w:r>
        <w:rPr>
          <w:rFonts w:ascii="Arial" w:hAnsi="Arial" w:cs="Arial"/>
          <w:sz w:val="20"/>
          <w:szCs w:val="20"/>
          <w:lang w:val="en"/>
        </w:rPr>
        <w:t xml:space="preserve">Eighty nine percent of adults aged ≥19 years consumed excess sodium. </w:t>
      </w:r>
    </w:p>
    <w:p w:rsidR="002504BC" w:rsidRDefault="002504BC" w:rsidP="002504BC">
      <w:pPr>
        <w:pStyle w:val="ListParagraph"/>
        <w:numPr>
          <w:ilvl w:val="0"/>
          <w:numId w:val="7"/>
        </w:numPr>
        <w:spacing w:before="100" w:beforeAutospacing="1" w:after="100" w:afterAutospacing="1"/>
        <w:rPr>
          <w:rFonts w:ascii="Arial" w:hAnsi="Arial" w:cs="Arial"/>
          <w:sz w:val="20"/>
          <w:szCs w:val="20"/>
          <w:lang w:val="en"/>
        </w:rPr>
      </w:pPr>
      <w:r>
        <w:rPr>
          <w:rFonts w:ascii="Arial" w:hAnsi="Arial" w:cs="Arial"/>
          <w:sz w:val="20"/>
          <w:szCs w:val="20"/>
          <w:lang w:val="en"/>
        </w:rPr>
        <w:t xml:space="preserve">Sodium intake was typically higher among persons eating more calories, and estimated sodium intake was highest among persons aged 19–50 years. </w:t>
      </w:r>
    </w:p>
    <w:p w:rsidR="002504BC" w:rsidRDefault="002504BC" w:rsidP="002504BC">
      <w:pPr>
        <w:pStyle w:val="ListParagraph"/>
        <w:numPr>
          <w:ilvl w:val="0"/>
          <w:numId w:val="7"/>
        </w:numPr>
        <w:spacing w:before="100" w:beforeAutospacing="1" w:after="100" w:afterAutospacing="1"/>
        <w:rPr>
          <w:rFonts w:ascii="Arial" w:hAnsi="Arial" w:cs="Arial"/>
          <w:sz w:val="20"/>
          <w:szCs w:val="20"/>
          <w:lang w:val="en"/>
        </w:rPr>
      </w:pPr>
      <w:r>
        <w:rPr>
          <w:rFonts w:ascii="Arial" w:hAnsi="Arial" w:cs="Arial"/>
          <w:sz w:val="20"/>
          <w:szCs w:val="20"/>
          <w:lang w:val="en"/>
        </w:rPr>
        <w:t xml:space="preserve">Sodium density (milligrams (mg) of sodium per 1000 calories consumed) was highest among adults aged 19–50 years (mean = 1,730 mg/1,000 calories) and lowest among children aged 2–3 years (mean = 1,466 mg/1,000 calories). </w:t>
      </w:r>
    </w:p>
    <w:p w:rsidR="002504BC" w:rsidRDefault="002504BC" w:rsidP="002504BC">
      <w:pPr>
        <w:pStyle w:val="ListParagraph"/>
        <w:numPr>
          <w:ilvl w:val="0"/>
          <w:numId w:val="7"/>
        </w:numPr>
        <w:spacing w:before="100" w:beforeAutospacing="1" w:after="100" w:afterAutospacing="1"/>
        <w:rPr>
          <w:rFonts w:ascii="Arial" w:hAnsi="Arial" w:cs="Arial"/>
          <w:sz w:val="20"/>
          <w:szCs w:val="20"/>
          <w:lang w:val="en"/>
        </w:rPr>
      </w:pPr>
      <w:r>
        <w:rPr>
          <w:rFonts w:ascii="Arial" w:hAnsi="Arial" w:cs="Arial"/>
          <w:sz w:val="20"/>
          <w:szCs w:val="20"/>
          <w:lang w:val="en"/>
        </w:rPr>
        <w:t xml:space="preserve">Ninety percent of adults without hypertension consumed more than 2,300 mg of sodium per day, compared to 86% of adults with hypertension. </w:t>
      </w:r>
    </w:p>
    <w:p w:rsidR="002504BC" w:rsidRDefault="002504BC" w:rsidP="002504BC">
      <w:pPr>
        <w:spacing w:before="100" w:beforeAutospacing="1" w:after="100" w:afterAutospacing="1"/>
        <w:rPr>
          <w:rFonts w:ascii="Arial" w:hAnsi="Arial" w:cs="Arial"/>
          <w:sz w:val="20"/>
          <w:szCs w:val="20"/>
          <w:lang w:val="en"/>
        </w:rPr>
      </w:pPr>
      <w:r>
        <w:rPr>
          <w:rFonts w:ascii="Arial" w:hAnsi="Arial" w:cs="Arial"/>
          <w:sz w:val="20"/>
          <w:szCs w:val="20"/>
          <w:lang w:val="en"/>
        </w:rPr>
        <w:t xml:space="preserve">The </w:t>
      </w:r>
      <w:r>
        <w:rPr>
          <w:rFonts w:ascii="Arial" w:hAnsi="Arial" w:cs="Arial"/>
          <w:i/>
          <w:iCs/>
          <w:sz w:val="20"/>
          <w:szCs w:val="20"/>
          <w:lang w:val="en"/>
        </w:rPr>
        <w:t>MMWR</w:t>
      </w:r>
      <w:r>
        <w:rPr>
          <w:rFonts w:ascii="Arial" w:hAnsi="Arial" w:cs="Arial"/>
          <w:sz w:val="20"/>
          <w:szCs w:val="20"/>
          <w:lang w:val="en"/>
        </w:rPr>
        <w:t xml:space="preserve"> article may be found here: </w:t>
      </w:r>
      <w:hyperlink r:id="rId14" w:anchor="tab1" w:history="1">
        <w:r>
          <w:rPr>
            <w:rStyle w:val="Hyperlink"/>
            <w:rFonts w:ascii="Arial" w:hAnsi="Arial" w:cs="Arial"/>
            <w:sz w:val="20"/>
            <w:szCs w:val="20"/>
            <w:lang w:val="en"/>
          </w:rPr>
          <w:t>http://www.cdc.gov/mmwr/preview/mmwrhtml/mm6452a1.htm?s_cid=mm6452a1_e#tab1</w:t>
        </w:r>
      </w:hyperlink>
      <w:r>
        <w:rPr>
          <w:rFonts w:ascii="Arial" w:hAnsi="Arial" w:cs="Arial"/>
          <w:sz w:val="20"/>
          <w:szCs w:val="20"/>
          <w:lang w:val="en"/>
        </w:rPr>
        <w:t xml:space="preserve">. </w:t>
      </w:r>
    </w:p>
    <w:p w:rsidR="002504BC" w:rsidRDefault="002504BC" w:rsidP="002504BC">
      <w:pPr>
        <w:pStyle w:val="Default"/>
        <w:rPr>
          <w:rFonts w:ascii="Arial" w:hAnsi="Arial" w:cs="Arial"/>
          <w:color w:val="auto"/>
          <w:sz w:val="20"/>
          <w:szCs w:val="20"/>
        </w:rPr>
      </w:pPr>
      <w:r>
        <w:rPr>
          <w:rFonts w:ascii="Arial" w:hAnsi="Arial" w:cs="Arial"/>
          <w:b/>
          <w:bCs/>
          <w:color w:val="auto"/>
          <w:sz w:val="20"/>
          <w:szCs w:val="20"/>
          <w:u w:val="single"/>
        </w:rPr>
        <w:t>2015 – 2020 Dietary Guidelines for Americans Released</w:t>
      </w:r>
      <w:r>
        <w:rPr>
          <w:rFonts w:ascii="Arial" w:hAnsi="Arial" w:cs="Arial"/>
          <w:color w:val="auto"/>
          <w:sz w:val="20"/>
          <w:szCs w:val="20"/>
        </w:rPr>
        <w:br/>
        <w:t xml:space="preserve">Last week, the Department of Health and Human Services and the United States Department of Agriculture released the 2015 – 2020 </w:t>
      </w:r>
      <w:r>
        <w:rPr>
          <w:rFonts w:ascii="Arial" w:hAnsi="Arial" w:cs="Arial"/>
          <w:i/>
          <w:iCs/>
          <w:color w:val="auto"/>
          <w:sz w:val="20"/>
          <w:szCs w:val="20"/>
        </w:rPr>
        <w:t>Dietary Guidelines for Americans</w:t>
      </w:r>
      <w:r>
        <w:rPr>
          <w:rFonts w:ascii="Arial" w:hAnsi="Arial" w:cs="Arial"/>
          <w:color w:val="auto"/>
          <w:sz w:val="20"/>
          <w:szCs w:val="20"/>
        </w:rPr>
        <w:t xml:space="preserve">. Among other recommendations, the report recommends that Americans consume less than 2,300 mg per day of sodium. The full report may be found here: </w:t>
      </w:r>
      <w:hyperlink r:id="rId15" w:history="1">
        <w:r>
          <w:rPr>
            <w:rStyle w:val="Hyperlink"/>
            <w:rFonts w:ascii="Arial" w:hAnsi="Arial" w:cs="Arial"/>
            <w:sz w:val="20"/>
            <w:szCs w:val="20"/>
          </w:rPr>
          <w:t>http://health.gov/dietaryguidelines/2015/guidelines/</w:t>
        </w:r>
      </w:hyperlink>
      <w:r>
        <w:rPr>
          <w:rFonts w:ascii="Arial" w:hAnsi="Arial" w:cs="Arial"/>
          <w:color w:val="auto"/>
          <w:sz w:val="20"/>
          <w:szCs w:val="20"/>
        </w:rPr>
        <w:t xml:space="preserve">. </w:t>
      </w:r>
    </w:p>
    <w:p w:rsidR="002504BC" w:rsidRDefault="002504BC" w:rsidP="002504BC">
      <w:pPr>
        <w:pStyle w:val="Default"/>
        <w:rPr>
          <w:rFonts w:ascii="Arial" w:hAnsi="Arial" w:cs="Arial"/>
          <w:color w:val="auto"/>
          <w:sz w:val="20"/>
          <w:szCs w:val="20"/>
        </w:rPr>
      </w:pPr>
    </w:p>
    <w:p w:rsidR="002504BC" w:rsidRDefault="002504BC" w:rsidP="002504BC">
      <w:pPr>
        <w:spacing w:line="252" w:lineRule="auto"/>
        <w:rPr>
          <w:rFonts w:ascii="Arial" w:hAnsi="Arial" w:cs="Arial"/>
          <w:sz w:val="20"/>
          <w:szCs w:val="20"/>
        </w:rPr>
      </w:pPr>
      <w:r>
        <w:rPr>
          <w:rFonts w:ascii="Arial" w:hAnsi="Arial" w:cs="Arial"/>
          <w:sz w:val="20"/>
          <w:szCs w:val="20"/>
        </w:rPr>
        <w:t>Thank you for your continued engagement in sodium reduction.</w:t>
      </w:r>
    </w:p>
    <w:p w:rsidR="002504BC" w:rsidRDefault="002504BC" w:rsidP="002504BC">
      <w:pPr>
        <w:spacing w:line="252" w:lineRule="auto"/>
        <w:rPr>
          <w:sz w:val="20"/>
          <w:szCs w:val="20"/>
        </w:rPr>
      </w:pPr>
    </w:p>
    <w:p w:rsidR="002504BC" w:rsidRDefault="002504BC" w:rsidP="002504BC">
      <w:pPr>
        <w:rPr>
          <w:rFonts w:ascii="Arial" w:hAnsi="Arial" w:cs="Arial"/>
          <w:sz w:val="20"/>
          <w:szCs w:val="20"/>
        </w:rPr>
      </w:pPr>
      <w:r>
        <w:rPr>
          <w:rFonts w:ascii="Arial" w:hAnsi="Arial" w:cs="Arial"/>
          <w:i/>
          <w:iCs/>
          <w:sz w:val="20"/>
          <w:szCs w:val="20"/>
        </w:rPr>
        <w:t>We are sending this information in an effort to inform our stakeholders of relevant sodium reduction efforts that are occurring. The purpose of this communication is to provide continued follow up with stakeholders and create a network of partners working on and interested in sodium reduction. The Salt e-Update will be sent every two weeks. For questions or comments, or to be added or removed from this communication, contact Jessica Levings at</w:t>
      </w:r>
      <w:r>
        <w:rPr>
          <w:rFonts w:ascii="Arial" w:hAnsi="Arial" w:cs="Arial"/>
          <w:sz w:val="20"/>
          <w:szCs w:val="20"/>
        </w:rPr>
        <w:t xml:space="preserve"> </w:t>
      </w:r>
      <w:hyperlink r:id="rId16" w:history="1">
        <w:r>
          <w:rPr>
            <w:rStyle w:val="Hyperlink"/>
            <w:rFonts w:ascii="Arial" w:hAnsi="Arial" w:cs="Arial"/>
            <w:i/>
            <w:iCs/>
            <w:sz w:val="20"/>
            <w:szCs w:val="20"/>
          </w:rPr>
          <w:t>JLevings@cdc.gov</w:t>
        </w:r>
      </w:hyperlink>
      <w:r>
        <w:rPr>
          <w:rFonts w:ascii="Arial" w:hAnsi="Arial" w:cs="Arial"/>
          <w:i/>
          <w:iCs/>
          <w:sz w:val="20"/>
          <w:szCs w:val="20"/>
        </w:rPr>
        <w:t xml:space="preserve">. </w:t>
      </w:r>
    </w:p>
    <w:p w:rsidR="002504BC" w:rsidRDefault="002504BC" w:rsidP="002504BC">
      <w:pPr>
        <w:pStyle w:val="NormalWeb"/>
        <w:rPr>
          <w:color w:val="1F497D"/>
          <w:sz w:val="20"/>
          <w:szCs w:val="20"/>
        </w:rPr>
      </w:pPr>
      <w:r>
        <w:rPr>
          <w:rFonts w:ascii="Arial" w:hAnsi="Arial" w:cs="Arial"/>
          <w:i/>
          <w:iCs/>
          <w:sz w:val="20"/>
          <w:szCs w:val="20"/>
        </w:rPr>
        <w:t>Salt e-Update</w:t>
      </w:r>
      <w:r>
        <w:rPr>
          <w:rFonts w:ascii="Arial" w:hAnsi="Arial" w:cs="Arial"/>
          <w:sz w:val="20"/>
          <w:szCs w:val="20"/>
        </w:rPr>
        <w:t xml:space="preserve"> content is selected solely on the basis of newsworthiness and potential interest to readers. CDC assumes no responsibility for the factual accuracy of the items presented. The selection, omission, or content of items does not imply any endorsement or other position taken by CDC. Opinions expressed by the original authors of items included in</w:t>
      </w:r>
      <w:r>
        <w:rPr>
          <w:rFonts w:ascii="Arial" w:hAnsi="Arial" w:cs="Arial"/>
          <w:i/>
          <w:iCs/>
          <w:sz w:val="20"/>
          <w:szCs w:val="20"/>
        </w:rPr>
        <w:t xml:space="preserve"> Salt e-Update</w:t>
      </w:r>
      <w:r>
        <w:rPr>
          <w:rFonts w:ascii="Arial" w:hAnsi="Arial" w:cs="Arial"/>
          <w:sz w:val="20"/>
          <w:szCs w:val="20"/>
        </w:rPr>
        <w:t>, or persons quoted therein, are strictly their own and are in no way meant to represent the official position of CDC. References to products, trade names, publications, news sources, and Websites are provided solely for informational purposes and do not imply endorsement by the CDC</w:t>
      </w:r>
      <w:r>
        <w:rPr>
          <w:sz w:val="20"/>
          <w:szCs w:val="20"/>
        </w:rPr>
        <w:t>.</w:t>
      </w:r>
    </w:p>
    <w:bookmarkEnd w:id="0"/>
    <w:p w:rsidR="00E1357F" w:rsidRPr="005B13F4" w:rsidRDefault="00E1357F" w:rsidP="002504BC">
      <w:pPr>
        <w:pStyle w:val="NoSpacing"/>
        <w:spacing w:after="240"/>
        <w:rPr>
          <w:rFonts w:ascii="Times New Roman" w:hAnsi="Times New Roman"/>
          <w:sz w:val="20"/>
          <w:szCs w:val="20"/>
        </w:rPr>
      </w:pPr>
    </w:p>
    <w:sectPr w:rsidR="00E1357F" w:rsidRPr="005B13F4" w:rsidSect="00A979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658" w:rsidRDefault="001B3658" w:rsidP="004B38F6">
      <w:r>
        <w:separator/>
      </w:r>
    </w:p>
  </w:endnote>
  <w:endnote w:type="continuationSeparator" w:id="0">
    <w:p w:rsidR="001B3658" w:rsidRDefault="001B3658" w:rsidP="004B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658" w:rsidRDefault="001B3658" w:rsidP="004B38F6">
      <w:r>
        <w:separator/>
      </w:r>
    </w:p>
  </w:footnote>
  <w:footnote w:type="continuationSeparator" w:id="0">
    <w:p w:rsidR="001B3658" w:rsidRDefault="001B3658" w:rsidP="004B3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52077"/>
    <w:multiLevelType w:val="hybridMultilevel"/>
    <w:tmpl w:val="60E23F5C"/>
    <w:lvl w:ilvl="0" w:tplc="D4F69D64">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 w15:restartNumberingAfterBreak="0">
    <w:nsid w:val="12D17E23"/>
    <w:multiLevelType w:val="hybridMultilevel"/>
    <w:tmpl w:val="D7384188"/>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 w15:restartNumberingAfterBreak="0">
    <w:nsid w:val="199D444F"/>
    <w:multiLevelType w:val="multilevel"/>
    <w:tmpl w:val="96605EA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8050A59"/>
    <w:multiLevelType w:val="hybridMultilevel"/>
    <w:tmpl w:val="4F7E25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4E8E61BE"/>
    <w:multiLevelType w:val="hybridMultilevel"/>
    <w:tmpl w:val="91A25B7C"/>
    <w:lvl w:ilvl="0" w:tplc="FF9A8366">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59F379E"/>
    <w:multiLevelType w:val="hybridMultilevel"/>
    <w:tmpl w:val="ED6849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96E5183"/>
    <w:multiLevelType w:val="hybridMultilevel"/>
    <w:tmpl w:val="BA723E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7B802D3D"/>
    <w:multiLevelType w:val="hybridMultilevel"/>
    <w:tmpl w:val="5A4EB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
  </w:num>
  <w:num w:numId="4">
    <w:abstractNumId w:val="7"/>
  </w:num>
  <w:num w:numId="5">
    <w:abstractNumId w:val="1"/>
  </w:num>
  <w:num w:numId="6">
    <w:abstractNumId w:val="2"/>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noPunctuationKerning/>
  <w:characterSpacingControl w:val="doNotCompress"/>
  <w:hdrShapeDefaults>
    <o:shapedefaults v:ext="edit" spidmax="296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38"/>
    <w:rsid w:val="00027324"/>
    <w:rsid w:val="00040762"/>
    <w:rsid w:val="00053074"/>
    <w:rsid w:val="0014081C"/>
    <w:rsid w:val="00152D2A"/>
    <w:rsid w:val="001B3658"/>
    <w:rsid w:val="00242799"/>
    <w:rsid w:val="002504BC"/>
    <w:rsid w:val="002C4C62"/>
    <w:rsid w:val="00332838"/>
    <w:rsid w:val="003425B4"/>
    <w:rsid w:val="00357773"/>
    <w:rsid w:val="00363A77"/>
    <w:rsid w:val="003812BF"/>
    <w:rsid w:val="00393AC7"/>
    <w:rsid w:val="003B2BD1"/>
    <w:rsid w:val="003D6F97"/>
    <w:rsid w:val="004B38F6"/>
    <w:rsid w:val="00571BCF"/>
    <w:rsid w:val="005B13F4"/>
    <w:rsid w:val="00601EC0"/>
    <w:rsid w:val="006856EC"/>
    <w:rsid w:val="00687253"/>
    <w:rsid w:val="006A2E43"/>
    <w:rsid w:val="006B5023"/>
    <w:rsid w:val="006C4FE0"/>
    <w:rsid w:val="007045B0"/>
    <w:rsid w:val="007E1095"/>
    <w:rsid w:val="00800095"/>
    <w:rsid w:val="00833AEA"/>
    <w:rsid w:val="008A5C5A"/>
    <w:rsid w:val="00920E2B"/>
    <w:rsid w:val="00941BD6"/>
    <w:rsid w:val="00971964"/>
    <w:rsid w:val="009D0677"/>
    <w:rsid w:val="00A55D9F"/>
    <w:rsid w:val="00A979B8"/>
    <w:rsid w:val="00B24E61"/>
    <w:rsid w:val="00CB08F2"/>
    <w:rsid w:val="00CD4E09"/>
    <w:rsid w:val="00D33F9D"/>
    <w:rsid w:val="00D96B0C"/>
    <w:rsid w:val="00E0237B"/>
    <w:rsid w:val="00E1357F"/>
    <w:rsid w:val="00E240CA"/>
    <w:rsid w:val="00F14750"/>
    <w:rsid w:val="00F75F49"/>
    <w:rsid w:val="00FB1737"/>
    <w:rsid w:val="00FB4255"/>
    <w:rsid w:val="04A86A3D"/>
    <w:rsid w:val="07B52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7A591552-86FD-4407-B6E2-CC27C8EE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nhideWhenUsed="1"/>
    <w:lsdException w:name="Strong" w:uiPriority="22" w:qFormat="1"/>
    <w:lsdException w:name="Emphasis" w:uiPriority="20" w:qFormat="1"/>
    <w:lsdException w:name="Document Map" w:semiHidden="1" w:unhideWhenUsed="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9B8"/>
    <w:rPr>
      <w:rFonts w:ascii="Calibri" w:hAnsi="Calibri"/>
      <w:sz w:val="22"/>
      <w:szCs w:val="22"/>
    </w:rPr>
  </w:style>
  <w:style w:type="paragraph" w:styleId="Heading2">
    <w:name w:val="heading 2"/>
    <w:basedOn w:val="Normal"/>
    <w:link w:val="Heading2Char"/>
    <w:uiPriority w:val="9"/>
    <w:unhideWhenUsed/>
    <w:qFormat/>
    <w:rsid w:val="00A979B8"/>
    <w:pPr>
      <w:spacing w:after="150"/>
      <w:outlineLvl w:val="1"/>
    </w:pPr>
    <w:rPr>
      <w:rFonts w:ascii="Helvetica" w:hAnsi="Helvetica" w:cs="Helvetica"/>
      <w:color w:val="50505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979B8"/>
    <w:rPr>
      <w:lang w:eastAsia="en-US"/>
    </w:rPr>
  </w:style>
  <w:style w:type="paragraph" w:styleId="BalloonText">
    <w:name w:val="Balloon Text"/>
    <w:basedOn w:val="Normal"/>
    <w:link w:val="BalloonTextChar"/>
    <w:uiPriority w:val="99"/>
    <w:unhideWhenUsed/>
    <w:rsid w:val="00A979B8"/>
    <w:rPr>
      <w:rFonts w:ascii="Tahoma" w:hAnsi="Tahoma" w:cs="Tahoma"/>
      <w:sz w:val="16"/>
      <w:szCs w:val="16"/>
    </w:rPr>
  </w:style>
  <w:style w:type="paragraph" w:styleId="NormalWeb">
    <w:name w:val="Normal (Web)"/>
    <w:basedOn w:val="Normal"/>
    <w:uiPriority w:val="99"/>
    <w:unhideWhenUsed/>
    <w:rsid w:val="00A979B8"/>
    <w:rPr>
      <w:sz w:val="24"/>
    </w:rPr>
  </w:style>
  <w:style w:type="character" w:styleId="Strong">
    <w:name w:val="Strong"/>
    <w:basedOn w:val="DefaultParagraphFont"/>
    <w:uiPriority w:val="22"/>
    <w:qFormat/>
    <w:rsid w:val="00A979B8"/>
    <w:rPr>
      <w:b/>
      <w:bCs/>
    </w:rPr>
  </w:style>
  <w:style w:type="character" w:styleId="FollowedHyperlink">
    <w:name w:val="FollowedHyperlink"/>
    <w:basedOn w:val="DefaultParagraphFont"/>
    <w:unhideWhenUsed/>
    <w:rsid w:val="00A979B8"/>
    <w:rPr>
      <w:color w:val="800080"/>
      <w:u w:val="none"/>
    </w:rPr>
  </w:style>
  <w:style w:type="character" w:styleId="Hyperlink">
    <w:name w:val="Hyperlink"/>
    <w:basedOn w:val="DefaultParagraphFont"/>
    <w:uiPriority w:val="99"/>
    <w:unhideWhenUsed/>
    <w:rsid w:val="00A979B8"/>
    <w:rPr>
      <w:color w:val="0022CC"/>
      <w:u w:val="none"/>
    </w:rPr>
  </w:style>
  <w:style w:type="paragraph" w:customStyle="1" w:styleId="1">
    <w:name w:val="无间隔1"/>
    <w:basedOn w:val="Normal"/>
    <w:uiPriority w:val="1"/>
    <w:qFormat/>
    <w:rsid w:val="00A979B8"/>
  </w:style>
  <w:style w:type="paragraph" w:customStyle="1" w:styleId="Default">
    <w:name w:val="Default"/>
    <w:basedOn w:val="Normal"/>
    <w:uiPriority w:val="99"/>
    <w:rsid w:val="00A979B8"/>
    <w:pPr>
      <w:autoSpaceDE w:val="0"/>
      <w:autoSpaceDN w:val="0"/>
    </w:pPr>
    <w:rPr>
      <w:rFonts w:ascii="Cambria" w:hAnsi="Cambria"/>
      <w:color w:val="000000"/>
      <w:sz w:val="24"/>
      <w:szCs w:val="24"/>
      <w:lang w:eastAsia="en-US"/>
    </w:rPr>
  </w:style>
  <w:style w:type="paragraph" w:customStyle="1" w:styleId="tgt">
    <w:name w:val="tgt"/>
    <w:basedOn w:val="Normal"/>
    <w:uiPriority w:val="99"/>
    <w:rsid w:val="00A979B8"/>
    <w:pPr>
      <w:spacing w:after="126"/>
    </w:pPr>
  </w:style>
  <w:style w:type="paragraph" w:customStyle="1" w:styleId="tgt2">
    <w:name w:val="tgt2"/>
    <w:basedOn w:val="Normal"/>
    <w:uiPriority w:val="99"/>
    <w:rsid w:val="00A979B8"/>
    <w:pPr>
      <w:spacing w:after="150" w:line="360" w:lineRule="auto"/>
    </w:pPr>
    <w:rPr>
      <w:b/>
      <w:sz w:val="31"/>
      <w:szCs w:val="31"/>
    </w:rPr>
  </w:style>
  <w:style w:type="paragraph" w:customStyle="1" w:styleId="tgt4">
    <w:name w:val="tgt4"/>
    <w:basedOn w:val="Normal"/>
    <w:rsid w:val="00A979B8"/>
    <w:pPr>
      <w:spacing w:after="84"/>
    </w:pPr>
    <w:rPr>
      <w:sz w:val="21"/>
      <w:szCs w:val="21"/>
    </w:rPr>
  </w:style>
  <w:style w:type="character" w:customStyle="1" w:styleId="Heading2Char">
    <w:name w:val="Heading 2 Char"/>
    <w:basedOn w:val="DefaultParagraphFont"/>
    <w:link w:val="Heading2"/>
    <w:uiPriority w:val="9"/>
    <w:semiHidden/>
    <w:rsid w:val="00A979B8"/>
    <w:rPr>
      <w:rFonts w:ascii="Helvetica" w:hAnsi="Helvetica" w:cs="Helvetica"/>
      <w:color w:val="505050"/>
      <w:sz w:val="36"/>
      <w:szCs w:val="36"/>
      <w:lang w:eastAsia="en-US"/>
    </w:rPr>
  </w:style>
  <w:style w:type="character" w:customStyle="1" w:styleId="PlainTextChar">
    <w:name w:val="Plain Text Char"/>
    <w:basedOn w:val="DefaultParagraphFont"/>
    <w:link w:val="PlainText"/>
    <w:uiPriority w:val="99"/>
    <w:semiHidden/>
    <w:rsid w:val="00A979B8"/>
    <w:rPr>
      <w:rFonts w:ascii="Calibri" w:hAnsi="Calibri" w:cs="Times New Roman"/>
      <w:lang w:eastAsia="en-US"/>
    </w:rPr>
  </w:style>
  <w:style w:type="character" w:customStyle="1" w:styleId="BalloonTextChar">
    <w:name w:val="Balloon Text Char"/>
    <w:basedOn w:val="DefaultParagraphFont"/>
    <w:link w:val="BalloonText"/>
    <w:uiPriority w:val="99"/>
    <w:semiHidden/>
    <w:rsid w:val="00A979B8"/>
    <w:rPr>
      <w:rFonts w:ascii="Tahoma" w:hAnsi="Tahoma" w:cs="Tahoma"/>
      <w:sz w:val="16"/>
      <w:szCs w:val="16"/>
    </w:rPr>
  </w:style>
  <w:style w:type="paragraph" w:styleId="Header">
    <w:name w:val="header"/>
    <w:basedOn w:val="Normal"/>
    <w:link w:val="HeaderChar"/>
    <w:semiHidden/>
    <w:unhideWhenUsed/>
    <w:rsid w:val="004B38F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4B38F6"/>
    <w:rPr>
      <w:rFonts w:ascii="Calibri" w:hAnsi="Calibri"/>
      <w:sz w:val="18"/>
      <w:szCs w:val="18"/>
    </w:rPr>
  </w:style>
  <w:style w:type="paragraph" w:styleId="Footer">
    <w:name w:val="footer"/>
    <w:basedOn w:val="Normal"/>
    <w:link w:val="FooterChar"/>
    <w:uiPriority w:val="99"/>
    <w:semiHidden/>
    <w:unhideWhenUsed/>
    <w:rsid w:val="004B38F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4B38F6"/>
    <w:rPr>
      <w:rFonts w:ascii="Calibri" w:hAnsi="Calibri"/>
      <w:sz w:val="18"/>
      <w:szCs w:val="18"/>
    </w:rPr>
  </w:style>
  <w:style w:type="paragraph" w:styleId="NoSpacing">
    <w:name w:val="No Spacing"/>
    <w:basedOn w:val="Normal"/>
    <w:uiPriority w:val="1"/>
    <w:qFormat/>
    <w:rsid w:val="003B2BD1"/>
  </w:style>
  <w:style w:type="paragraph" w:styleId="ListParagraph">
    <w:name w:val="List Paragraph"/>
    <w:basedOn w:val="Normal"/>
    <w:uiPriority w:val="34"/>
    <w:qFormat/>
    <w:rsid w:val="006C4FE0"/>
    <w:pPr>
      <w:ind w:left="720"/>
    </w:pPr>
    <w:rPr>
      <w:rFonts w:eastAsiaTheme="minorEastAsia"/>
      <w:lang w:eastAsia="en-US"/>
    </w:rPr>
  </w:style>
  <w:style w:type="character" w:customStyle="1" w:styleId="baec5a81-e4d6-4674-97f3-e9220f0136c1">
    <w:name w:val="baec5a81-e4d6-4674-97f3-e9220f0136c1"/>
    <w:basedOn w:val="DefaultParagraphFont"/>
    <w:rsid w:val="00250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4513">
      <w:bodyDiv w:val="1"/>
      <w:marLeft w:val="0"/>
      <w:marRight w:val="0"/>
      <w:marTop w:val="0"/>
      <w:marBottom w:val="0"/>
      <w:divBdr>
        <w:top w:val="none" w:sz="0" w:space="0" w:color="auto"/>
        <w:left w:val="none" w:sz="0" w:space="0" w:color="auto"/>
        <w:bottom w:val="none" w:sz="0" w:space="0" w:color="auto"/>
        <w:right w:val="none" w:sz="0" w:space="0" w:color="auto"/>
      </w:divBdr>
    </w:div>
    <w:div w:id="86193165">
      <w:bodyDiv w:val="1"/>
      <w:marLeft w:val="0"/>
      <w:marRight w:val="0"/>
      <w:marTop w:val="0"/>
      <w:marBottom w:val="0"/>
      <w:divBdr>
        <w:top w:val="none" w:sz="0" w:space="0" w:color="auto"/>
        <w:left w:val="none" w:sz="0" w:space="0" w:color="auto"/>
        <w:bottom w:val="none" w:sz="0" w:space="0" w:color="auto"/>
        <w:right w:val="none" w:sz="0" w:space="0" w:color="auto"/>
      </w:divBdr>
    </w:div>
    <w:div w:id="104467217">
      <w:bodyDiv w:val="1"/>
      <w:marLeft w:val="0"/>
      <w:marRight w:val="0"/>
      <w:marTop w:val="0"/>
      <w:marBottom w:val="0"/>
      <w:divBdr>
        <w:top w:val="none" w:sz="0" w:space="0" w:color="auto"/>
        <w:left w:val="none" w:sz="0" w:space="0" w:color="auto"/>
        <w:bottom w:val="none" w:sz="0" w:space="0" w:color="auto"/>
        <w:right w:val="none" w:sz="0" w:space="0" w:color="auto"/>
      </w:divBdr>
    </w:div>
    <w:div w:id="747000557">
      <w:bodyDiv w:val="1"/>
      <w:marLeft w:val="0"/>
      <w:marRight w:val="0"/>
      <w:marTop w:val="0"/>
      <w:marBottom w:val="0"/>
      <w:divBdr>
        <w:top w:val="none" w:sz="0" w:space="0" w:color="auto"/>
        <w:left w:val="none" w:sz="0" w:space="0" w:color="auto"/>
        <w:bottom w:val="none" w:sz="0" w:space="0" w:color="auto"/>
        <w:right w:val="none" w:sz="0" w:space="0" w:color="auto"/>
      </w:divBdr>
    </w:div>
    <w:div w:id="912272965">
      <w:bodyDiv w:val="1"/>
      <w:marLeft w:val="0"/>
      <w:marRight w:val="0"/>
      <w:marTop w:val="0"/>
      <w:marBottom w:val="0"/>
      <w:divBdr>
        <w:top w:val="none" w:sz="0" w:space="0" w:color="auto"/>
        <w:left w:val="none" w:sz="0" w:space="0" w:color="auto"/>
        <w:bottom w:val="none" w:sz="0" w:space="0" w:color="auto"/>
        <w:right w:val="none" w:sz="0" w:space="0" w:color="auto"/>
      </w:divBdr>
    </w:div>
    <w:div w:id="1217860592">
      <w:bodyDiv w:val="1"/>
      <w:marLeft w:val="0"/>
      <w:marRight w:val="0"/>
      <w:marTop w:val="0"/>
      <w:marBottom w:val="0"/>
      <w:divBdr>
        <w:top w:val="none" w:sz="0" w:space="0" w:color="auto"/>
        <w:left w:val="none" w:sz="0" w:space="0" w:color="auto"/>
        <w:bottom w:val="none" w:sz="0" w:space="0" w:color="auto"/>
        <w:right w:val="none" w:sz="0" w:space="0" w:color="auto"/>
      </w:divBdr>
    </w:div>
    <w:div w:id="2065638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rants.gov/web/grants/view-opportunity.html?oppId=2809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y@cn.cdc.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Levings@cd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alth.gov/dietaryguidelines/2015/guidelines/" TargetMode="External"/><Relationship Id="rId5" Type="http://schemas.openxmlformats.org/officeDocument/2006/relationships/webSettings" Target="webSettings.xml"/><Relationship Id="rId15" Type="http://schemas.openxmlformats.org/officeDocument/2006/relationships/hyperlink" Target="http://health.gov/dietaryguidelines/2015/guidelines/" TargetMode="External"/><Relationship Id="rId10" Type="http://schemas.openxmlformats.org/officeDocument/2006/relationships/hyperlink" Target="http://www.cdc.gov/mmwr/preview/mmwrhtml/mm6452a1.htm?s_cid=mm6452a1_e" TargetMode="External"/><Relationship Id="rId4" Type="http://schemas.openxmlformats.org/officeDocument/2006/relationships/settings" Target="settings.xml"/><Relationship Id="rId9" Type="http://schemas.openxmlformats.org/officeDocument/2006/relationships/hyperlink" Target="http://www.grants.gov/web/grants/view-opportunity.html?oppId=280919" TargetMode="External"/><Relationship Id="rId14" Type="http://schemas.openxmlformats.org/officeDocument/2006/relationships/hyperlink" Target="http://www.cdc.gov/mmwr/preview/mmwrhtml/mm6452a1.htm?s_cid=mm6452a1_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_x0001_</vt:lpstr>
    </vt:vector>
  </TitlesOfParts>
  <Company>CDC</Company>
  <LinksUpToDate>false</LinksUpToDate>
  <CharactersWithSpaces>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user</dc:creator>
  <cp:lastModifiedBy>Cai Ying (CDC/CGH/NCD)</cp:lastModifiedBy>
  <cp:revision>3</cp:revision>
  <dcterms:created xsi:type="dcterms:W3CDTF">2016-01-15T03:37:00Z</dcterms:created>
  <dcterms:modified xsi:type="dcterms:W3CDTF">2016-01-15T06:28:00Z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