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2504BC" w:rsidP="00B24E61">
      <w:pPr>
        <w:pStyle w:val="1"/>
        <w:spacing w:afterLines="50" w:after="120" w:line="360" w:lineRule="auto"/>
        <w:jc w:val="both"/>
        <w:rPr>
          <w:rFonts w:ascii="Times New Roman" w:hAnsi="宋体"/>
          <w:sz w:val="24"/>
          <w:szCs w:val="24"/>
        </w:rPr>
      </w:pPr>
      <w:r>
        <w:rPr>
          <w:rFonts w:ascii="Times New Roman" w:hAnsi="宋体"/>
          <w:sz w:val="24"/>
          <w:szCs w:val="24"/>
        </w:rPr>
        <w:t>2016</w:t>
      </w:r>
      <w:r>
        <w:rPr>
          <w:rFonts w:ascii="Times New Roman" w:hAnsi="宋体" w:hint="eastAsia"/>
          <w:sz w:val="24"/>
          <w:szCs w:val="24"/>
        </w:rPr>
        <w:t>年</w:t>
      </w:r>
      <w:r w:rsidR="00270A3F">
        <w:rPr>
          <w:rFonts w:ascii="Times New Roman" w:hAnsi="宋体"/>
          <w:sz w:val="24"/>
          <w:szCs w:val="24"/>
        </w:rPr>
        <w:t>2</w:t>
      </w:r>
      <w:r w:rsidR="00E1357F" w:rsidRPr="00E1357F">
        <w:rPr>
          <w:rFonts w:ascii="Times New Roman" w:hAnsi="宋体" w:hint="eastAsia"/>
          <w:sz w:val="24"/>
          <w:szCs w:val="24"/>
        </w:rPr>
        <w:t>月</w:t>
      </w:r>
      <w:r w:rsidR="007F10B9">
        <w:rPr>
          <w:rFonts w:ascii="Times New Roman" w:hAnsi="宋体"/>
          <w:sz w:val="24"/>
          <w:szCs w:val="24"/>
        </w:rPr>
        <w:t>2</w:t>
      </w:r>
      <w:r w:rsidR="00270A3F">
        <w:rPr>
          <w:rFonts w:ascii="Times New Roman" w:hAnsi="宋体"/>
          <w:sz w:val="24"/>
          <w:szCs w:val="24"/>
        </w:rPr>
        <w:t>6</w:t>
      </w:r>
      <w:r w:rsidR="00E1357F" w:rsidRPr="00E1357F">
        <w:rPr>
          <w:rFonts w:ascii="Times New Roman" w:hAnsi="宋体" w:hint="eastAsia"/>
          <w:sz w:val="24"/>
          <w:szCs w:val="24"/>
        </w:rPr>
        <w:t>日</w:t>
      </w:r>
    </w:p>
    <w:p w:rsidR="007F10B9" w:rsidRDefault="002504BC" w:rsidP="007F10B9">
      <w:pPr>
        <w:adjustRightInd w:val="0"/>
        <w:snapToGrid w:val="0"/>
        <w:spacing w:afterLines="50" w:after="120"/>
        <w:ind w:firstLineChars="200" w:firstLine="400"/>
        <w:rPr>
          <w:rFonts w:ascii="Times New Roman" w:hAnsi="宋体"/>
          <w:sz w:val="20"/>
          <w:szCs w:val="20"/>
        </w:rPr>
      </w:pPr>
      <w:r>
        <w:rPr>
          <w:rFonts w:ascii="Times New Roman"/>
          <w:sz w:val="20"/>
          <w:szCs w:val="20"/>
        </w:rPr>
        <w:t>本</w:t>
      </w:r>
      <w:r w:rsidR="00370AB0">
        <w:rPr>
          <w:rFonts w:ascii="Times New Roman" w:hint="eastAsia"/>
          <w:sz w:val="20"/>
          <w:szCs w:val="20"/>
        </w:rPr>
        <w:t>期</w:t>
      </w:r>
      <w:r>
        <w:rPr>
          <w:rFonts w:ascii="Times New Roman" w:hint="eastAsia"/>
          <w:sz w:val="20"/>
          <w:szCs w:val="20"/>
        </w:rPr>
        <w:t>的《减盐</w:t>
      </w:r>
      <w:r>
        <w:rPr>
          <w:rFonts w:ascii="Times New Roman"/>
          <w:sz w:val="20"/>
          <w:szCs w:val="20"/>
        </w:rPr>
        <w:t>电子周刊》</w:t>
      </w:r>
      <w:r w:rsidR="006C4FE0" w:rsidRPr="00087152">
        <w:rPr>
          <w:rFonts w:ascii="Times New Roman"/>
          <w:sz w:val="20"/>
          <w:szCs w:val="20"/>
        </w:rPr>
        <w:t>的更新内容包括</w:t>
      </w:r>
      <w:r w:rsidR="007F10B9">
        <w:rPr>
          <w:rFonts w:ascii="Times New Roman" w:hint="eastAsia"/>
          <w:sz w:val="20"/>
          <w:szCs w:val="20"/>
        </w:rPr>
        <w:t>：</w:t>
      </w:r>
      <w:bookmarkStart w:id="0" w:name="_GoBack"/>
      <w:bookmarkEnd w:id="0"/>
      <w:r w:rsidR="007F10B9">
        <w:rPr>
          <w:rFonts w:ascii="Times New Roman" w:hAnsi="宋体" w:hint="eastAsia"/>
          <w:sz w:val="20"/>
          <w:szCs w:val="20"/>
        </w:rPr>
        <w:t>美国疾控中心的社区减钠计划新一轮投标申请即将截止。</w:t>
      </w:r>
    </w:p>
    <w:p w:rsidR="007F10B9" w:rsidRDefault="007F10B9" w:rsidP="007F10B9">
      <w:pPr>
        <w:adjustRightInd w:val="0"/>
        <w:snapToGrid w:val="0"/>
        <w:spacing w:afterLines="50" w:after="120"/>
        <w:ind w:firstLineChars="200" w:firstLine="400"/>
        <w:rPr>
          <w:rFonts w:ascii="Times New Roman" w:hAnsi="Times New Roman"/>
          <w:sz w:val="20"/>
          <w:szCs w:val="20"/>
        </w:rPr>
      </w:pPr>
    </w:p>
    <w:p w:rsidR="007F10B9" w:rsidRDefault="007F10B9" w:rsidP="007F10B9">
      <w:pPr>
        <w:adjustRightInd w:val="0"/>
        <w:snapToGrid w:val="0"/>
        <w:spacing w:afterLines="50" w:after="120"/>
        <w:rPr>
          <w:rFonts w:ascii="Times New Roman" w:hAnsi="宋体"/>
          <w:b/>
          <w:bCs/>
          <w:color w:val="000000"/>
          <w:kern w:val="2"/>
          <w:sz w:val="20"/>
          <w:szCs w:val="20"/>
          <w:u w:val="single"/>
        </w:rPr>
      </w:pPr>
      <w:r>
        <w:rPr>
          <w:rFonts w:ascii="Times New Roman" w:hAnsi="宋体" w:hint="eastAsia"/>
          <w:b/>
          <w:bCs/>
          <w:color w:val="000000"/>
          <w:sz w:val="20"/>
          <w:szCs w:val="20"/>
          <w:u w:val="single"/>
        </w:rPr>
        <w:t>社区减钠新计划投标申请即将截止</w:t>
      </w:r>
    </w:p>
    <w:p w:rsidR="007F10B9" w:rsidRDefault="007F10B9" w:rsidP="007F10B9">
      <w:pPr>
        <w:adjustRightInd w:val="0"/>
        <w:snapToGrid w:val="0"/>
        <w:spacing w:afterLines="50" w:after="120"/>
        <w:ind w:firstLineChars="200" w:firstLine="400"/>
        <w:rPr>
          <w:rFonts w:ascii="Times New Roman" w:hAnsi="Times New Roman"/>
          <w:color w:val="000000"/>
          <w:sz w:val="20"/>
          <w:szCs w:val="20"/>
        </w:rPr>
      </w:pPr>
      <w:r>
        <w:rPr>
          <w:rFonts w:ascii="Times New Roman" w:hAnsi="宋体" w:hint="eastAsia"/>
          <w:color w:val="000000"/>
          <w:sz w:val="20"/>
          <w:szCs w:val="20"/>
        </w:rPr>
        <w:t>美国疾控中心（</w:t>
      </w:r>
      <w:r>
        <w:rPr>
          <w:rFonts w:ascii="Times New Roman" w:hAnsi="Times New Roman"/>
          <w:color w:val="000000"/>
          <w:sz w:val="20"/>
          <w:szCs w:val="20"/>
        </w:rPr>
        <w:t>FOA</w:t>
      </w:r>
      <w:r>
        <w:rPr>
          <w:rFonts w:ascii="Times New Roman" w:hAnsi="宋体" w:hint="eastAsia"/>
          <w:color w:val="000000"/>
          <w:sz w:val="20"/>
          <w:szCs w:val="20"/>
        </w:rPr>
        <w:t>）第</w:t>
      </w:r>
      <w:r>
        <w:rPr>
          <w:rFonts w:ascii="Times New Roman" w:hAnsi="Times New Roman"/>
          <w:color w:val="000000"/>
          <w:sz w:val="20"/>
          <w:szCs w:val="20"/>
        </w:rPr>
        <w:t>DP16-1607</w:t>
      </w:r>
      <w:r>
        <w:rPr>
          <w:rFonts w:ascii="Times New Roman" w:hAnsi="宋体" w:hint="eastAsia"/>
          <w:color w:val="000000"/>
          <w:sz w:val="20"/>
          <w:szCs w:val="20"/>
        </w:rPr>
        <w:t>号招标声明，即社区减钠计划的投标申请截止日期为</w:t>
      </w:r>
      <w:r>
        <w:rPr>
          <w:rFonts w:ascii="Times New Roman" w:hAnsi="Times New Roman"/>
          <w:color w:val="000000"/>
          <w:sz w:val="20"/>
          <w:szCs w:val="20"/>
        </w:rPr>
        <w:t>2016</w:t>
      </w:r>
      <w:r>
        <w:rPr>
          <w:rFonts w:ascii="Times New Roman" w:hAnsi="宋体" w:hint="eastAsia"/>
          <w:color w:val="000000"/>
          <w:sz w:val="20"/>
          <w:szCs w:val="20"/>
        </w:rPr>
        <w:t>年</w:t>
      </w:r>
      <w:r>
        <w:rPr>
          <w:rFonts w:ascii="Times New Roman" w:hAnsi="Times New Roman"/>
          <w:color w:val="000000"/>
          <w:sz w:val="20"/>
          <w:szCs w:val="20"/>
        </w:rPr>
        <w:t>3</w:t>
      </w:r>
      <w:r>
        <w:rPr>
          <w:rFonts w:ascii="Times New Roman" w:hAnsi="宋体" w:hint="eastAsia"/>
          <w:color w:val="000000"/>
          <w:sz w:val="20"/>
          <w:szCs w:val="20"/>
        </w:rPr>
        <w:t>月</w:t>
      </w:r>
      <w:r>
        <w:rPr>
          <w:rFonts w:ascii="Times New Roman" w:hAnsi="Times New Roman"/>
          <w:color w:val="000000"/>
          <w:sz w:val="20"/>
          <w:szCs w:val="20"/>
        </w:rPr>
        <w:t>15</w:t>
      </w:r>
      <w:r>
        <w:rPr>
          <w:rFonts w:ascii="Times New Roman" w:hAnsi="宋体" w:hint="eastAsia"/>
          <w:color w:val="000000"/>
          <w:sz w:val="20"/>
          <w:szCs w:val="20"/>
        </w:rPr>
        <w:t>日；意向书提交截止日期为：</w:t>
      </w:r>
      <w:r>
        <w:rPr>
          <w:rFonts w:ascii="Times New Roman" w:hAnsi="Times New Roman"/>
          <w:color w:val="000000"/>
          <w:sz w:val="20"/>
          <w:szCs w:val="20"/>
        </w:rPr>
        <w:t>2016</w:t>
      </w:r>
      <w:r>
        <w:rPr>
          <w:rFonts w:ascii="Times New Roman" w:hAnsi="宋体" w:hint="eastAsia"/>
          <w:color w:val="000000"/>
          <w:sz w:val="20"/>
          <w:szCs w:val="20"/>
        </w:rPr>
        <w:t>年</w:t>
      </w:r>
      <w:r>
        <w:rPr>
          <w:rFonts w:ascii="Times New Roman" w:hAnsi="Times New Roman"/>
          <w:color w:val="000000"/>
          <w:sz w:val="20"/>
          <w:szCs w:val="20"/>
        </w:rPr>
        <w:t>3</w:t>
      </w:r>
      <w:r>
        <w:rPr>
          <w:rFonts w:ascii="Times New Roman" w:hAnsi="宋体" w:hint="eastAsia"/>
          <w:color w:val="000000"/>
          <w:sz w:val="20"/>
          <w:szCs w:val="20"/>
        </w:rPr>
        <w:t>月</w:t>
      </w:r>
      <w:r>
        <w:rPr>
          <w:rFonts w:ascii="Times New Roman" w:hAnsi="Times New Roman"/>
          <w:color w:val="000000"/>
          <w:sz w:val="20"/>
          <w:szCs w:val="20"/>
        </w:rPr>
        <w:t>1</w:t>
      </w:r>
      <w:r>
        <w:rPr>
          <w:rFonts w:ascii="Times New Roman" w:hAnsi="宋体" w:hint="eastAsia"/>
          <w:color w:val="000000"/>
          <w:sz w:val="20"/>
          <w:szCs w:val="20"/>
        </w:rPr>
        <w:t>日。五年内将出资约</w:t>
      </w:r>
      <w:r>
        <w:rPr>
          <w:rFonts w:ascii="Times New Roman" w:hAnsi="Times New Roman"/>
          <w:color w:val="000000"/>
          <w:sz w:val="20"/>
          <w:szCs w:val="20"/>
        </w:rPr>
        <w:t>1500</w:t>
      </w:r>
      <w:r>
        <w:rPr>
          <w:rFonts w:ascii="Times New Roman" w:hAnsi="宋体" w:hint="eastAsia"/>
          <w:color w:val="000000"/>
          <w:sz w:val="20"/>
          <w:szCs w:val="20"/>
        </w:rPr>
        <w:t>万美元，用于执行和评估前景广阔且涉及范围广的可持续性计划，并联手食品行业合作商，加快商业加工与餐饮食品的减钠进程。同时，</w:t>
      </w:r>
      <w:r>
        <w:rPr>
          <w:rFonts w:ascii="Times New Roman" w:hAnsi="Times New Roman"/>
          <w:color w:val="000000"/>
          <w:sz w:val="20"/>
          <w:szCs w:val="20"/>
        </w:rPr>
        <w:t>FOA</w:t>
      </w:r>
      <w:r>
        <w:rPr>
          <w:rFonts w:ascii="Times New Roman" w:hAnsi="宋体" w:hint="eastAsia"/>
          <w:color w:val="000000"/>
          <w:sz w:val="20"/>
          <w:szCs w:val="20"/>
        </w:rPr>
        <w:t>还计划改善以下事项：</w:t>
      </w:r>
    </w:p>
    <w:p w:rsidR="007F10B9" w:rsidRDefault="007F10B9" w:rsidP="007F10B9">
      <w:pPr>
        <w:adjustRightInd w:val="0"/>
        <w:snapToGrid w:val="0"/>
        <w:spacing w:afterLines="50" w:after="120"/>
        <w:ind w:firstLineChars="200" w:firstLine="400"/>
        <w:rPr>
          <w:rFonts w:ascii="Times New Roman" w:hAnsi="Times New Roman"/>
          <w:color w:val="000000"/>
          <w:sz w:val="20"/>
          <w:szCs w:val="20"/>
        </w:rPr>
      </w:pPr>
    </w:p>
    <w:p w:rsidR="007F10B9" w:rsidRDefault="007F10B9" w:rsidP="007F10B9">
      <w:pPr>
        <w:adjustRightInd w:val="0"/>
        <w:snapToGrid w:val="0"/>
        <w:spacing w:afterLines="50" w:after="120"/>
        <w:ind w:firstLineChars="200" w:firstLine="400"/>
        <w:rPr>
          <w:rFonts w:ascii="Times New Roman" w:hAnsi="Times New Roman"/>
          <w:color w:val="000000"/>
          <w:sz w:val="20"/>
          <w:szCs w:val="20"/>
        </w:rPr>
      </w:pPr>
      <w:r>
        <w:rPr>
          <w:rFonts w:ascii="Times New Roman" w:hAnsi="宋体" w:hint="eastAsia"/>
          <w:color w:val="000000"/>
          <w:sz w:val="20"/>
          <w:szCs w:val="20"/>
        </w:rPr>
        <w:t>该五年合作协议的预计开始日期为</w:t>
      </w:r>
      <w:r>
        <w:rPr>
          <w:rFonts w:ascii="Times New Roman" w:hAnsi="Times New Roman"/>
          <w:color w:val="000000"/>
          <w:sz w:val="20"/>
          <w:szCs w:val="20"/>
        </w:rPr>
        <w:t>2016</w:t>
      </w:r>
      <w:r>
        <w:rPr>
          <w:rFonts w:ascii="Times New Roman" w:hAnsi="宋体" w:hint="eastAsia"/>
          <w:color w:val="000000"/>
          <w:sz w:val="20"/>
          <w:szCs w:val="20"/>
        </w:rPr>
        <w:t>年</w:t>
      </w:r>
      <w:r>
        <w:rPr>
          <w:rFonts w:ascii="Times New Roman" w:hAnsi="Times New Roman"/>
          <w:color w:val="000000"/>
          <w:sz w:val="20"/>
          <w:szCs w:val="20"/>
        </w:rPr>
        <w:t>9</w:t>
      </w:r>
      <w:r>
        <w:rPr>
          <w:rFonts w:ascii="Times New Roman" w:hAnsi="宋体" w:hint="eastAsia"/>
          <w:color w:val="000000"/>
          <w:sz w:val="20"/>
          <w:szCs w:val="20"/>
        </w:rPr>
        <w:t>月</w:t>
      </w:r>
      <w:r>
        <w:rPr>
          <w:rFonts w:ascii="Times New Roman" w:hAnsi="Times New Roman"/>
          <w:color w:val="000000"/>
          <w:sz w:val="20"/>
          <w:szCs w:val="20"/>
        </w:rPr>
        <w:t>30</w:t>
      </w:r>
      <w:r>
        <w:rPr>
          <w:rFonts w:ascii="Times New Roman" w:hAnsi="宋体" w:hint="eastAsia"/>
          <w:color w:val="000000"/>
          <w:sz w:val="20"/>
          <w:szCs w:val="20"/>
        </w:rPr>
        <w:t>日。申请者应证明其具有制定和实施公众健康营养改善计划的能力，且该计划的覆盖范围可至少达到</w:t>
      </w:r>
      <w:r>
        <w:rPr>
          <w:rFonts w:ascii="Times New Roman" w:hAnsi="Times New Roman"/>
          <w:color w:val="000000"/>
          <w:sz w:val="20"/>
          <w:szCs w:val="20"/>
        </w:rPr>
        <w:t>50</w:t>
      </w:r>
      <w:r>
        <w:rPr>
          <w:rFonts w:ascii="Times New Roman" w:hAnsi="宋体" w:hint="eastAsia"/>
          <w:color w:val="000000"/>
          <w:sz w:val="20"/>
          <w:szCs w:val="20"/>
        </w:rPr>
        <w:t>万人。更多信息请点击此处：</w:t>
      </w:r>
      <w:hyperlink r:id="rId9" w:history="1">
        <w:r>
          <w:rPr>
            <w:rStyle w:val="Hyperlink"/>
            <w:rFonts w:ascii="Times New Roman" w:hAnsi="Times New Roman"/>
            <w:sz w:val="20"/>
            <w:szCs w:val="20"/>
          </w:rPr>
          <w:t>http://www.grants.gov/web/grants/view-opportunity.html?oppId=280919</w:t>
        </w:r>
      </w:hyperlink>
      <w:r>
        <w:rPr>
          <w:rStyle w:val="apple-converted-space"/>
          <w:rFonts w:ascii="Times New Roman" w:hAnsi="Times New Roman"/>
          <w:color w:val="000000"/>
          <w:sz w:val="20"/>
          <w:szCs w:val="20"/>
        </w:rPr>
        <w:t> </w:t>
      </w:r>
      <w:r>
        <w:rPr>
          <w:rFonts w:ascii="Times New Roman" w:hAnsi="宋体" w:hint="eastAsia"/>
          <w:color w:val="000000"/>
          <w:sz w:val="20"/>
          <w:szCs w:val="20"/>
        </w:rPr>
        <w:t>和此处：</w:t>
      </w:r>
      <w:r>
        <w:rPr>
          <w:rStyle w:val="apple-converted-space"/>
          <w:rFonts w:ascii="Times New Roman" w:hAnsi="Times New Roman"/>
          <w:color w:val="000000"/>
          <w:sz w:val="20"/>
          <w:szCs w:val="20"/>
        </w:rPr>
        <w:t xml:space="preserve"> </w:t>
      </w:r>
      <w:hyperlink r:id="rId10" w:history="1">
        <w:r>
          <w:rPr>
            <w:rStyle w:val="Hyperlink"/>
            <w:rFonts w:ascii="Times New Roman" w:hAnsi="Times New Roman"/>
            <w:sz w:val="20"/>
            <w:szCs w:val="20"/>
          </w:rPr>
          <w:t>http://www.cdc.gov/salt/foa.htm</w:t>
        </w:r>
      </w:hyperlink>
      <w:r>
        <w:rPr>
          <w:rFonts w:ascii="Times New Roman" w:hAnsi="宋体" w:hint="eastAsia"/>
          <w:color w:val="000000"/>
          <w:sz w:val="20"/>
          <w:szCs w:val="20"/>
        </w:rPr>
        <w:t>。</w:t>
      </w:r>
    </w:p>
    <w:p w:rsidR="00971964" w:rsidRDefault="00971964" w:rsidP="00971964">
      <w:pPr>
        <w:pStyle w:val="Default"/>
        <w:rPr>
          <w:rFonts w:ascii="Arial" w:hAnsi="Arial" w:cs="Arial"/>
          <w:color w:val="auto"/>
          <w:sz w:val="20"/>
          <w:szCs w:val="20"/>
          <w:lang w:eastAsia="zh-CN"/>
        </w:rPr>
      </w:pPr>
    </w:p>
    <w:p w:rsidR="00971964" w:rsidRDefault="00971964" w:rsidP="00971964">
      <w:pPr>
        <w:spacing w:line="252" w:lineRule="auto"/>
        <w:rPr>
          <w:rFonts w:ascii="Arial" w:hAnsi="Arial" w:cs="Arial"/>
          <w:sz w:val="20"/>
          <w:szCs w:val="20"/>
        </w:rPr>
      </w:pPr>
    </w:p>
    <w:p w:rsidR="00971964" w:rsidRDefault="00FB4255" w:rsidP="00F14750">
      <w:pPr>
        <w:adjustRightInd w:val="0"/>
        <w:snapToGrid w:val="0"/>
        <w:spacing w:afterLines="50" w:after="120"/>
        <w:rPr>
          <w:rFonts w:ascii="Arial" w:eastAsiaTheme="minorEastAsia" w:hAnsi="Arial" w:cs="Arial"/>
          <w:sz w:val="20"/>
          <w:szCs w:val="20"/>
        </w:rPr>
      </w:pPr>
      <w:r w:rsidRPr="00FB4255">
        <w:rPr>
          <w:rFonts w:ascii="Arial" w:eastAsiaTheme="minorEastAsia" w:hAnsi="Arial" w:cs="Arial" w:hint="eastAsia"/>
          <w:sz w:val="20"/>
          <w:szCs w:val="20"/>
        </w:rPr>
        <w:t>感谢</w:t>
      </w:r>
      <w:r w:rsidRPr="00FB4255">
        <w:rPr>
          <w:rFonts w:ascii="Arial" w:eastAsiaTheme="minorEastAsia" w:hAnsi="Arial" w:cs="Arial"/>
          <w:sz w:val="20"/>
          <w:szCs w:val="20"/>
        </w:rPr>
        <w:t>您一直</w:t>
      </w:r>
      <w:r w:rsidRPr="00FB4255">
        <w:rPr>
          <w:rFonts w:ascii="Arial" w:eastAsiaTheme="minorEastAsia" w:hAnsi="Arial" w:cs="Arial" w:hint="eastAsia"/>
          <w:sz w:val="20"/>
          <w:szCs w:val="20"/>
        </w:rPr>
        <w:t>以来</w:t>
      </w:r>
      <w:r>
        <w:rPr>
          <w:rFonts w:ascii="Arial" w:eastAsiaTheme="minorEastAsia" w:hAnsi="Arial" w:cs="Arial" w:hint="eastAsia"/>
          <w:sz w:val="20"/>
          <w:szCs w:val="20"/>
        </w:rPr>
        <w:t>对</w:t>
      </w:r>
      <w:r>
        <w:rPr>
          <w:rFonts w:ascii="Arial" w:eastAsiaTheme="minorEastAsia" w:hAnsi="Arial" w:cs="Arial"/>
          <w:sz w:val="20"/>
          <w:szCs w:val="20"/>
        </w:rPr>
        <w:t>减盐</w:t>
      </w:r>
      <w:r>
        <w:rPr>
          <w:rFonts w:ascii="Arial" w:eastAsiaTheme="minorEastAsia" w:hAnsi="Arial" w:cs="Arial" w:hint="eastAsia"/>
          <w:sz w:val="20"/>
          <w:szCs w:val="20"/>
        </w:rPr>
        <w:t>活动</w:t>
      </w:r>
      <w:r>
        <w:rPr>
          <w:rFonts w:ascii="Arial" w:eastAsiaTheme="minorEastAsia" w:hAnsi="Arial" w:cs="Arial"/>
          <w:sz w:val="20"/>
          <w:szCs w:val="20"/>
        </w:rPr>
        <w:t>的支持。</w:t>
      </w:r>
    </w:p>
    <w:p w:rsidR="00FB4255" w:rsidRPr="00FB4255" w:rsidRDefault="00FB4255" w:rsidP="00F14750">
      <w:pPr>
        <w:adjustRightInd w:val="0"/>
        <w:snapToGrid w:val="0"/>
        <w:spacing w:afterLines="50" w:after="120"/>
        <w:rPr>
          <w:rFonts w:ascii="Arial" w:eastAsiaTheme="minorEastAsia" w:hAnsi="Arial" w:cs="Arial"/>
          <w:sz w:val="20"/>
          <w:szCs w:val="20"/>
        </w:rPr>
      </w:pPr>
    </w:p>
    <w:p w:rsidR="00E1357F" w:rsidRDefault="00E1357F" w:rsidP="00B24E61">
      <w:pPr>
        <w:spacing w:after="120" w:line="360" w:lineRule="auto"/>
        <w:ind w:right="300"/>
        <w:rPr>
          <w:rFonts w:ascii="Arial" w:hAnsi="Arial" w:cs="Arial"/>
          <w:iCs/>
          <w:sz w:val="20"/>
          <w:szCs w:val="20"/>
        </w:rPr>
      </w:pPr>
      <w:r>
        <w:rPr>
          <w:rFonts w:ascii="Arial" w:hAnsi="Arial" w:cs="Arial" w:hint="eastAsia"/>
          <w:iCs/>
          <w:sz w:val="20"/>
          <w:szCs w:val="20"/>
        </w:rPr>
        <w:t>请注意：</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1" w:history="1">
        <w:r>
          <w:rPr>
            <w:rStyle w:val="Hyperlink"/>
            <w:rFonts w:ascii="Arial" w:hAnsi="Arial" w:cs="Arial"/>
            <w:iCs/>
            <w:sz w:val="20"/>
            <w:szCs w:val="20"/>
          </w:rPr>
          <w:t>caiy@cn.cdc.gov)</w:t>
        </w:r>
      </w:hyperlink>
      <w:r>
        <w:rPr>
          <w:rFonts w:ascii="Arial" w:hAnsi="Arial" w:cs="Arial" w:hint="eastAsia"/>
          <w:iCs/>
          <w:sz w:val="20"/>
          <w:szCs w:val="20"/>
        </w:rPr>
        <w:t>。</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7F10B9" w:rsidRDefault="007F10B9" w:rsidP="007F10B9">
      <w:pPr>
        <w:pStyle w:val="NoSpacing"/>
        <w:spacing w:after="240"/>
        <w:rPr>
          <w:rFonts w:ascii="Arial" w:hAnsi="Arial" w:cs="Arial"/>
          <w:sz w:val="20"/>
          <w:szCs w:val="20"/>
        </w:rPr>
      </w:pPr>
      <w:r>
        <w:rPr>
          <w:rFonts w:ascii="Arial" w:hAnsi="Arial" w:cs="Arial"/>
          <w:sz w:val="20"/>
          <w:szCs w:val="20"/>
        </w:rPr>
        <w:t>Hello –</w:t>
      </w:r>
    </w:p>
    <w:p w:rsidR="007F10B9" w:rsidRDefault="007F10B9" w:rsidP="007F10B9">
      <w:pPr>
        <w:pStyle w:val="NoSpacing"/>
        <w:spacing w:after="240"/>
        <w:rPr>
          <w:rFonts w:ascii="Arial" w:hAnsi="Arial" w:cs="Arial"/>
          <w:sz w:val="20"/>
          <w:szCs w:val="20"/>
        </w:rPr>
      </w:pPr>
      <w:r>
        <w:rPr>
          <w:rFonts w:ascii="Arial" w:hAnsi="Arial" w:cs="Arial"/>
          <w:sz w:val="20"/>
          <w:szCs w:val="20"/>
        </w:rPr>
        <w:lastRenderedPageBreak/>
        <w:t>This week’s CDC Salt e-Update includes a reminder about a new Funding Opportunity Announcement related to CDC’s Sodium Reduction in Communities Program.  </w:t>
      </w:r>
    </w:p>
    <w:p w:rsidR="007F10B9" w:rsidRDefault="007F10B9" w:rsidP="007F10B9">
      <w:pPr>
        <w:autoSpaceDE w:val="0"/>
        <w:autoSpaceDN w:val="0"/>
        <w:rPr>
          <w:rFonts w:ascii="Arial" w:hAnsi="Arial" w:cs="Arial"/>
          <w:color w:val="1F497D"/>
          <w:sz w:val="20"/>
          <w:szCs w:val="20"/>
          <w:lang w:eastAsia="en-US"/>
        </w:rPr>
      </w:pPr>
      <w:r>
        <w:rPr>
          <w:rFonts w:ascii="Arial" w:hAnsi="Arial" w:cs="Arial"/>
          <w:b/>
          <w:bCs/>
          <w:sz w:val="20"/>
          <w:szCs w:val="20"/>
          <w:u w:val="single"/>
        </w:rPr>
        <w:t>Application Deadline for New Sodium Reduction in Communities Program Funding Opportunity Announcement Approaching</w:t>
      </w:r>
      <w:r>
        <w:rPr>
          <w:rFonts w:ascii="Arial" w:hAnsi="Arial" w:cs="Arial"/>
          <w:b/>
          <w:bCs/>
          <w:sz w:val="20"/>
          <w:szCs w:val="20"/>
          <w:u w:val="single"/>
        </w:rPr>
        <w:br/>
      </w:r>
      <w:bookmarkStart w:id="1" w:name="_Partner_Support_for"/>
      <w:bookmarkEnd w:id="1"/>
      <w:r>
        <w:rPr>
          <w:rFonts w:ascii="Arial" w:hAnsi="Arial" w:cs="Arial"/>
          <w:sz w:val="20"/>
          <w:szCs w:val="20"/>
        </w:rPr>
        <w:t>The application deadline for CDC’s Funding Opportunity Announcement (FOA) DP16-1607: Sodium Reduction in Communities Program is March 15, 2016, and the submission deadline for Letters of Intent is March 1, 2016.</w:t>
      </w:r>
      <w:r>
        <w:rPr>
          <w:rFonts w:ascii="Arial" w:hAnsi="Arial" w:cs="Arial"/>
          <w:b/>
          <w:bCs/>
          <w:sz w:val="20"/>
          <w:szCs w:val="20"/>
        </w:rPr>
        <w:t xml:space="preserve"> </w:t>
      </w:r>
      <w:r>
        <w:rPr>
          <w:rFonts w:ascii="Arial" w:hAnsi="Arial" w:cs="Arial"/>
          <w:sz w:val="20"/>
          <w:szCs w:val="20"/>
        </w:rPr>
        <w:t xml:space="preserve">Approximately $15 million will be awarded over a five year period to implement and evaluate promising, broad-reaching, and sustainable strategies while engaging food sector collaborators to facilitate sodium reductions in commercially processed and restaurant foods. The FOA also aims to increase the following. </w:t>
      </w:r>
    </w:p>
    <w:p w:rsidR="007F10B9" w:rsidRDefault="007F10B9" w:rsidP="007F10B9">
      <w:pPr>
        <w:autoSpaceDE w:val="0"/>
        <w:autoSpaceDN w:val="0"/>
        <w:rPr>
          <w:color w:val="1F497D"/>
        </w:rPr>
      </w:pPr>
    </w:p>
    <w:p w:rsidR="007F10B9" w:rsidRDefault="007F10B9" w:rsidP="007F10B9">
      <w:pPr>
        <w:autoSpaceDE w:val="0"/>
        <w:autoSpaceDN w:val="0"/>
        <w:rPr>
          <w:rFonts w:ascii="Arial" w:hAnsi="Arial" w:cs="Arial"/>
          <w:sz w:val="20"/>
          <w:szCs w:val="20"/>
          <w:lang w:eastAsia="en-US"/>
        </w:rPr>
      </w:pPr>
      <w:r>
        <w:rPr>
          <w:rFonts w:ascii="Arial" w:hAnsi="Arial" w:cs="Arial"/>
          <w:sz w:val="20"/>
          <w:szCs w:val="20"/>
        </w:rPr>
        <w:t xml:space="preserve">The anticipated start date is September 30, 2016 for this five-year cooperative agreement. Applicants should have demonstrated ability to develop and implement public health strategies to improve nutrition, and capacity to reach at least 500,000 people. More information may be found here: </w:t>
      </w:r>
      <w:hyperlink r:id="rId12" w:history="1">
        <w:r>
          <w:rPr>
            <w:rStyle w:val="Hyperlink"/>
            <w:rFonts w:ascii="Arial" w:hAnsi="Arial" w:cs="Arial"/>
            <w:sz w:val="20"/>
            <w:szCs w:val="20"/>
          </w:rPr>
          <w:t>http://www.grants.gov/web/grants/view-opportunity.html?oppId=280919</w:t>
        </w:r>
      </w:hyperlink>
      <w:r>
        <w:rPr>
          <w:rFonts w:ascii="Arial" w:hAnsi="Arial" w:cs="Arial"/>
          <w:sz w:val="20"/>
          <w:szCs w:val="20"/>
        </w:rPr>
        <w:t xml:space="preserve"> and here: </w:t>
      </w:r>
      <w:hyperlink r:id="rId13" w:history="1">
        <w:r>
          <w:rPr>
            <w:rStyle w:val="Hyperlink"/>
            <w:rFonts w:ascii="Arial" w:hAnsi="Arial" w:cs="Arial"/>
            <w:sz w:val="20"/>
            <w:szCs w:val="20"/>
            <w:lang w:eastAsia="en-US"/>
          </w:rPr>
          <w:t>http://www.cdc.gov/salt/foa.htm</w:t>
        </w:r>
      </w:hyperlink>
      <w:r>
        <w:rPr>
          <w:rFonts w:ascii="Arial" w:hAnsi="Arial" w:cs="Arial"/>
          <w:sz w:val="20"/>
          <w:szCs w:val="20"/>
          <w:lang w:eastAsia="en-US"/>
        </w:rPr>
        <w:t xml:space="preserve">. </w:t>
      </w:r>
    </w:p>
    <w:p w:rsidR="007F10B9" w:rsidRDefault="007F10B9" w:rsidP="007F10B9">
      <w:pPr>
        <w:autoSpaceDE w:val="0"/>
        <w:autoSpaceDN w:val="0"/>
        <w:rPr>
          <w:b/>
          <w:bCs/>
          <w:color w:val="1F497D"/>
          <w:u w:val="single"/>
        </w:rPr>
      </w:pPr>
    </w:p>
    <w:p w:rsidR="007F10B9" w:rsidRDefault="007F10B9" w:rsidP="007F10B9">
      <w:pPr>
        <w:spacing w:line="252" w:lineRule="auto"/>
        <w:rPr>
          <w:rFonts w:ascii="Arial" w:hAnsi="Arial" w:cs="Arial"/>
          <w:sz w:val="20"/>
          <w:szCs w:val="20"/>
        </w:rPr>
      </w:pPr>
      <w:r>
        <w:rPr>
          <w:rFonts w:ascii="Arial" w:hAnsi="Arial" w:cs="Arial"/>
          <w:sz w:val="20"/>
          <w:szCs w:val="20"/>
        </w:rPr>
        <w:t>Thank you for your continued engagement in sodium reduction.</w:t>
      </w:r>
    </w:p>
    <w:p w:rsidR="007F10B9" w:rsidRDefault="007F10B9" w:rsidP="007F10B9">
      <w:pPr>
        <w:spacing w:line="252" w:lineRule="auto"/>
        <w:rPr>
          <w:sz w:val="20"/>
          <w:szCs w:val="20"/>
        </w:rPr>
      </w:pPr>
    </w:p>
    <w:p w:rsidR="007F10B9" w:rsidRDefault="007F10B9" w:rsidP="007F10B9">
      <w:pPr>
        <w:rPr>
          <w:rFonts w:ascii="Arial" w:hAnsi="Arial" w:cs="Arial"/>
          <w:sz w:val="20"/>
          <w:szCs w:val="20"/>
        </w:rPr>
      </w:pP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Jessica Levings at</w:t>
      </w:r>
      <w:r>
        <w:rPr>
          <w:rFonts w:ascii="Arial" w:hAnsi="Arial" w:cs="Arial"/>
          <w:sz w:val="20"/>
          <w:szCs w:val="20"/>
        </w:rPr>
        <w:t xml:space="preserve"> </w:t>
      </w:r>
      <w:hyperlink r:id="rId14" w:history="1">
        <w:r>
          <w:rPr>
            <w:rStyle w:val="Hyperlink"/>
            <w:rFonts w:ascii="Arial" w:hAnsi="Arial" w:cs="Arial"/>
            <w:i/>
            <w:iCs/>
            <w:sz w:val="20"/>
            <w:szCs w:val="20"/>
          </w:rPr>
          <w:t>JLevings@cdc.gov</w:t>
        </w:r>
      </w:hyperlink>
      <w:r>
        <w:rPr>
          <w:rFonts w:ascii="Arial" w:hAnsi="Arial" w:cs="Arial"/>
          <w:i/>
          <w:iCs/>
          <w:sz w:val="20"/>
          <w:szCs w:val="20"/>
        </w:rPr>
        <w:t xml:space="preserve">. </w:t>
      </w:r>
    </w:p>
    <w:p w:rsidR="007F10B9" w:rsidRDefault="007F10B9" w:rsidP="007F10B9">
      <w:pPr>
        <w:pStyle w:val="NormalWeb"/>
        <w:rPr>
          <w:color w:val="1F497D"/>
          <w:sz w:val="20"/>
          <w:szCs w:val="20"/>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r>
        <w:rPr>
          <w:sz w:val="20"/>
          <w:szCs w:val="20"/>
        </w:rPr>
        <w:t>.</w:t>
      </w:r>
    </w:p>
    <w:p w:rsidR="00E1357F" w:rsidRPr="005B13F4" w:rsidRDefault="00E1357F" w:rsidP="007F10B9">
      <w:pPr>
        <w:pStyle w:val="NoSpacing"/>
        <w:spacing w:after="240"/>
        <w:rPr>
          <w:rFonts w:ascii="Times New Roman" w:hAnsi="Times New Roman"/>
          <w:sz w:val="20"/>
          <w:szCs w:val="20"/>
        </w:rPr>
      </w:pPr>
    </w:p>
    <w:sectPr w:rsidR="00E1357F" w:rsidRPr="005B13F4"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15:restartNumberingAfterBreak="0">
    <w:nsid w:val="0E6B616C"/>
    <w:multiLevelType w:val="hybridMultilevel"/>
    <w:tmpl w:val="53A42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D17E23"/>
    <w:multiLevelType w:val="hybridMultilevel"/>
    <w:tmpl w:val="D738418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99D444F"/>
    <w:multiLevelType w:val="multilevel"/>
    <w:tmpl w:val="96605E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050A59"/>
    <w:multiLevelType w:val="hybridMultilevel"/>
    <w:tmpl w:val="4F7E2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E8E61BE"/>
    <w:multiLevelType w:val="hybridMultilevel"/>
    <w:tmpl w:val="91A25B7C"/>
    <w:lvl w:ilvl="0" w:tplc="FF9A836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9F379E"/>
    <w:multiLevelType w:val="hybridMultilevel"/>
    <w:tmpl w:val="ED684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96E5183"/>
    <w:multiLevelType w:val="hybridMultilevel"/>
    <w:tmpl w:val="BA723E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B802D3D"/>
    <w:multiLevelType w:val="hybridMultilevel"/>
    <w:tmpl w:val="5A4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8"/>
  </w:num>
  <w:num w:numId="5">
    <w:abstractNumId w:val="2"/>
  </w:num>
  <w:num w:numId="6">
    <w:abstractNumId w:val="3"/>
  </w:num>
  <w:num w:numId="7">
    <w:abstractNumId w:val="5"/>
  </w:num>
  <w:num w:numId="8">
    <w:abstractNumId w:val="6"/>
  </w:num>
  <w:num w:numId="9">
    <w:abstractNumId w:val="7"/>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3788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27324"/>
    <w:rsid w:val="00040762"/>
    <w:rsid w:val="00053074"/>
    <w:rsid w:val="0014081C"/>
    <w:rsid w:val="00152D2A"/>
    <w:rsid w:val="001B3658"/>
    <w:rsid w:val="00242799"/>
    <w:rsid w:val="002504BC"/>
    <w:rsid w:val="00270A3F"/>
    <w:rsid w:val="00282300"/>
    <w:rsid w:val="002C4C62"/>
    <w:rsid w:val="00332838"/>
    <w:rsid w:val="003425B4"/>
    <w:rsid w:val="00357773"/>
    <w:rsid w:val="00363A77"/>
    <w:rsid w:val="00370AB0"/>
    <w:rsid w:val="003812BF"/>
    <w:rsid w:val="00393AC7"/>
    <w:rsid w:val="003B2BD1"/>
    <w:rsid w:val="003D6F97"/>
    <w:rsid w:val="004A5BB9"/>
    <w:rsid w:val="004B38F6"/>
    <w:rsid w:val="00571BCF"/>
    <w:rsid w:val="005B13F4"/>
    <w:rsid w:val="00601EC0"/>
    <w:rsid w:val="006856EC"/>
    <w:rsid w:val="00687253"/>
    <w:rsid w:val="006A2E43"/>
    <w:rsid w:val="006B5023"/>
    <w:rsid w:val="006C4FE0"/>
    <w:rsid w:val="007045B0"/>
    <w:rsid w:val="007E1095"/>
    <w:rsid w:val="007F10B9"/>
    <w:rsid w:val="00800095"/>
    <w:rsid w:val="00833AEA"/>
    <w:rsid w:val="008A5C5A"/>
    <w:rsid w:val="00920E2B"/>
    <w:rsid w:val="00941BD6"/>
    <w:rsid w:val="00971964"/>
    <w:rsid w:val="009D0677"/>
    <w:rsid w:val="00A55D9F"/>
    <w:rsid w:val="00A979B8"/>
    <w:rsid w:val="00B24E61"/>
    <w:rsid w:val="00B82497"/>
    <w:rsid w:val="00CB08F2"/>
    <w:rsid w:val="00CD4E09"/>
    <w:rsid w:val="00D33F9D"/>
    <w:rsid w:val="00D5771C"/>
    <w:rsid w:val="00D96B0C"/>
    <w:rsid w:val="00E0237B"/>
    <w:rsid w:val="00E1357F"/>
    <w:rsid w:val="00E240CA"/>
    <w:rsid w:val="00F14750"/>
    <w:rsid w:val="00F75F49"/>
    <w:rsid w:val="00FB1737"/>
    <w:rsid w:val="00FB4255"/>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uiPriority w:val="99"/>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B38F6"/>
    <w:rPr>
      <w:rFonts w:ascii="Calibri" w:hAnsi="Calibri"/>
      <w:sz w:val="18"/>
      <w:szCs w:val="18"/>
    </w:rPr>
  </w:style>
  <w:style w:type="paragraph" w:styleId="NoSpacing">
    <w:name w:val="No Spacing"/>
    <w:basedOn w:val="Normal"/>
    <w:uiPriority w:val="1"/>
    <w:qFormat/>
    <w:rsid w:val="003B2BD1"/>
  </w:style>
  <w:style w:type="paragraph" w:styleId="ListParagraph">
    <w:name w:val="List Paragraph"/>
    <w:basedOn w:val="Normal"/>
    <w:uiPriority w:val="34"/>
    <w:qFormat/>
    <w:rsid w:val="006C4FE0"/>
    <w:pPr>
      <w:ind w:left="720"/>
    </w:pPr>
    <w:rPr>
      <w:rFonts w:eastAsiaTheme="minorEastAsia"/>
      <w:lang w:eastAsia="en-US"/>
    </w:rPr>
  </w:style>
  <w:style w:type="character" w:customStyle="1" w:styleId="baec5a81-e4d6-4674-97f3-e9220f0136c1">
    <w:name w:val="baec5a81-e4d6-4674-97f3-e9220f0136c1"/>
    <w:basedOn w:val="DefaultParagraphFont"/>
    <w:rsid w:val="002504BC"/>
  </w:style>
  <w:style w:type="character" w:customStyle="1" w:styleId="apple-converted-space">
    <w:name w:val="apple-converted-space"/>
    <w:basedOn w:val="DefaultParagraphFont"/>
    <w:rsid w:val="007F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513">
      <w:bodyDiv w:val="1"/>
      <w:marLeft w:val="0"/>
      <w:marRight w:val="0"/>
      <w:marTop w:val="0"/>
      <w:marBottom w:val="0"/>
      <w:divBdr>
        <w:top w:val="none" w:sz="0" w:space="0" w:color="auto"/>
        <w:left w:val="none" w:sz="0" w:space="0" w:color="auto"/>
        <w:bottom w:val="none" w:sz="0" w:space="0" w:color="auto"/>
        <w:right w:val="none" w:sz="0" w:space="0" w:color="auto"/>
      </w:divBdr>
    </w:div>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104467217">
      <w:bodyDiv w:val="1"/>
      <w:marLeft w:val="0"/>
      <w:marRight w:val="0"/>
      <w:marTop w:val="0"/>
      <w:marBottom w:val="0"/>
      <w:divBdr>
        <w:top w:val="none" w:sz="0" w:space="0" w:color="auto"/>
        <w:left w:val="none" w:sz="0" w:space="0" w:color="auto"/>
        <w:bottom w:val="none" w:sz="0" w:space="0" w:color="auto"/>
        <w:right w:val="none" w:sz="0" w:space="0" w:color="auto"/>
      </w:divBdr>
    </w:div>
    <w:div w:id="569776687">
      <w:bodyDiv w:val="1"/>
      <w:marLeft w:val="0"/>
      <w:marRight w:val="0"/>
      <w:marTop w:val="0"/>
      <w:marBottom w:val="0"/>
      <w:divBdr>
        <w:top w:val="none" w:sz="0" w:space="0" w:color="auto"/>
        <w:left w:val="none" w:sz="0" w:space="0" w:color="auto"/>
        <w:bottom w:val="none" w:sz="0" w:space="0" w:color="auto"/>
        <w:right w:val="none" w:sz="0" w:space="0" w:color="auto"/>
      </w:divBdr>
    </w:div>
    <w:div w:id="747000557">
      <w:bodyDiv w:val="1"/>
      <w:marLeft w:val="0"/>
      <w:marRight w:val="0"/>
      <w:marTop w:val="0"/>
      <w:marBottom w:val="0"/>
      <w:divBdr>
        <w:top w:val="none" w:sz="0" w:space="0" w:color="auto"/>
        <w:left w:val="none" w:sz="0" w:space="0" w:color="auto"/>
        <w:bottom w:val="none" w:sz="0" w:space="0" w:color="auto"/>
        <w:right w:val="none" w:sz="0" w:space="0" w:color="auto"/>
      </w:divBdr>
    </w:div>
    <w:div w:id="912272965">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 w:id="1272276443">
      <w:bodyDiv w:val="1"/>
      <w:marLeft w:val="0"/>
      <w:marRight w:val="0"/>
      <w:marTop w:val="0"/>
      <w:marBottom w:val="0"/>
      <w:divBdr>
        <w:top w:val="none" w:sz="0" w:space="0" w:color="auto"/>
        <w:left w:val="none" w:sz="0" w:space="0" w:color="auto"/>
        <w:bottom w:val="none" w:sz="0" w:space="0" w:color="auto"/>
        <w:right w:val="none" w:sz="0" w:space="0" w:color="auto"/>
      </w:divBdr>
    </w:div>
    <w:div w:id="1573202594">
      <w:bodyDiv w:val="1"/>
      <w:marLeft w:val="0"/>
      <w:marRight w:val="0"/>
      <w:marTop w:val="0"/>
      <w:marBottom w:val="0"/>
      <w:divBdr>
        <w:top w:val="none" w:sz="0" w:space="0" w:color="auto"/>
        <w:left w:val="none" w:sz="0" w:space="0" w:color="auto"/>
        <w:bottom w:val="none" w:sz="0" w:space="0" w:color="auto"/>
        <w:right w:val="none" w:sz="0" w:space="0" w:color="auto"/>
      </w:divBdr>
    </w:div>
    <w:div w:id="1693919657">
      <w:bodyDiv w:val="1"/>
      <w:marLeft w:val="0"/>
      <w:marRight w:val="0"/>
      <w:marTop w:val="0"/>
      <w:marBottom w:val="0"/>
      <w:divBdr>
        <w:top w:val="none" w:sz="0" w:space="0" w:color="auto"/>
        <w:left w:val="none" w:sz="0" w:space="0" w:color="auto"/>
        <w:bottom w:val="none" w:sz="0" w:space="0" w:color="auto"/>
        <w:right w:val="none" w:sz="0" w:space="0" w:color="auto"/>
      </w:divBdr>
    </w:div>
    <w:div w:id="206563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c.gov/salt/fo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ts.gov/web/grants/view-opportunity.html?oppId=2809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iy@cn.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c.gov/salt/foa.htm" TargetMode="External"/><Relationship Id="rId4" Type="http://schemas.openxmlformats.org/officeDocument/2006/relationships/settings" Target="settings.xml"/><Relationship Id="rId9" Type="http://schemas.openxmlformats.org/officeDocument/2006/relationships/hyperlink" Target="http://www.grants.gov/web/grants/view-opportunity.html?oppId=280919" TargetMode="External"/><Relationship Id="rId14" Type="http://schemas.openxmlformats.org/officeDocument/2006/relationships/hyperlink" Target="mailto:JLevings@cdc.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3</cp:revision>
  <dcterms:created xsi:type="dcterms:W3CDTF">2016-03-09T06:42:00Z</dcterms:created>
  <dcterms:modified xsi:type="dcterms:W3CDTF">2016-03-09T06:43:00Z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