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B8" w:rsidRPr="005B13F4" w:rsidRDefault="00687253" w:rsidP="00152D2A">
      <w:pPr>
        <w:pStyle w:val="1"/>
        <w:spacing w:afterLines="50" w:after="120" w:line="360" w:lineRule="auto"/>
        <w:jc w:val="center"/>
        <w:rPr>
          <w:rFonts w:ascii="Times New Roman" w:hAnsi="Times New Roman"/>
          <w:sz w:val="20"/>
          <w:szCs w:val="20"/>
        </w:rPr>
      </w:pPr>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152D2A" w:rsidP="00B24E61">
      <w:pPr>
        <w:pStyle w:val="1"/>
        <w:spacing w:afterLines="50" w:after="120" w:line="360" w:lineRule="auto"/>
        <w:jc w:val="both"/>
        <w:rPr>
          <w:rFonts w:ascii="Times New Roman" w:hAnsi="宋体"/>
          <w:sz w:val="24"/>
          <w:szCs w:val="24"/>
        </w:rPr>
      </w:pPr>
      <w:r>
        <w:rPr>
          <w:rFonts w:ascii="Times New Roman" w:hAnsi="宋体"/>
          <w:sz w:val="24"/>
          <w:szCs w:val="24"/>
        </w:rPr>
        <w:t>11</w:t>
      </w:r>
      <w:r w:rsidR="00E1357F" w:rsidRPr="00E1357F">
        <w:rPr>
          <w:rFonts w:ascii="Times New Roman" w:hAnsi="宋体" w:hint="eastAsia"/>
          <w:sz w:val="24"/>
          <w:szCs w:val="24"/>
        </w:rPr>
        <w:t>月</w:t>
      </w:r>
      <w:r>
        <w:rPr>
          <w:rFonts w:ascii="Times New Roman" w:hAnsi="宋体"/>
          <w:sz w:val="24"/>
          <w:szCs w:val="24"/>
        </w:rPr>
        <w:t>6</w:t>
      </w:r>
      <w:r w:rsidR="00E1357F" w:rsidRPr="00E1357F">
        <w:rPr>
          <w:rFonts w:ascii="Times New Roman" w:hAnsi="宋体" w:hint="eastAsia"/>
          <w:sz w:val="24"/>
          <w:szCs w:val="24"/>
        </w:rPr>
        <w:t>日</w:t>
      </w:r>
    </w:p>
    <w:p w:rsidR="00357773" w:rsidRPr="002F16F7" w:rsidRDefault="00357773" w:rsidP="00357773">
      <w:pPr>
        <w:adjustRightInd w:val="0"/>
        <w:snapToGrid w:val="0"/>
        <w:spacing w:afterLines="50" w:after="120"/>
        <w:rPr>
          <w:rFonts w:ascii="Times New Roman" w:hAnsi="Times New Roman"/>
          <w:sz w:val="24"/>
          <w:szCs w:val="24"/>
        </w:rPr>
      </w:pPr>
      <w:r w:rsidRPr="002F16F7">
        <w:rPr>
          <w:rFonts w:ascii="Times New Roman" w:hAnsi="宋体"/>
          <w:sz w:val="20"/>
          <w:szCs w:val="20"/>
        </w:rPr>
        <w:t>大家好：</w:t>
      </w:r>
    </w:p>
    <w:p w:rsidR="00357773" w:rsidRPr="002F16F7" w:rsidRDefault="00357773" w:rsidP="00357773">
      <w:pPr>
        <w:adjustRightInd w:val="0"/>
        <w:snapToGrid w:val="0"/>
        <w:spacing w:afterLines="50" w:after="120"/>
        <w:ind w:firstLineChars="200" w:firstLine="400"/>
        <w:rPr>
          <w:rFonts w:ascii="Times New Roman" w:hAnsi="Times New Roman"/>
          <w:sz w:val="20"/>
          <w:szCs w:val="20"/>
        </w:rPr>
      </w:pPr>
      <w:r w:rsidRPr="002F16F7">
        <w:rPr>
          <w:rFonts w:ascii="Times New Roman" w:hAnsi="宋体"/>
          <w:sz w:val="20"/>
          <w:szCs w:val="20"/>
        </w:rPr>
        <w:t>本周的疾控中心</w:t>
      </w:r>
      <w:r w:rsidR="007E1095">
        <w:rPr>
          <w:rFonts w:ascii="Times New Roman" w:hAnsi="宋体" w:hint="eastAsia"/>
          <w:sz w:val="20"/>
          <w:szCs w:val="20"/>
        </w:rPr>
        <w:t>《</w:t>
      </w:r>
      <w:r w:rsidR="00152D2A">
        <w:rPr>
          <w:rFonts w:ascii="Times New Roman" w:hAnsi="宋体" w:hint="eastAsia"/>
          <w:sz w:val="20"/>
          <w:szCs w:val="20"/>
        </w:rPr>
        <w:t>减盐电子</w:t>
      </w:r>
      <w:r w:rsidR="007E1095">
        <w:rPr>
          <w:rFonts w:ascii="Times New Roman" w:hAnsi="宋体" w:hint="eastAsia"/>
          <w:sz w:val="20"/>
          <w:szCs w:val="20"/>
        </w:rPr>
        <w:t>周刊》</w:t>
      </w:r>
      <w:r w:rsidRPr="002F16F7">
        <w:rPr>
          <w:rFonts w:ascii="Times New Roman" w:hAnsi="宋体"/>
          <w:sz w:val="20"/>
          <w:szCs w:val="20"/>
        </w:rPr>
        <w:t>内容包括：</w:t>
      </w:r>
      <w:r w:rsidR="00152D2A">
        <w:rPr>
          <w:rFonts w:ascii="Times New Roman" w:hAnsi="宋体" w:hint="eastAsia"/>
          <w:sz w:val="20"/>
          <w:szCs w:val="20"/>
        </w:rPr>
        <w:t>纽约市</w:t>
      </w:r>
      <w:r w:rsidR="00152D2A">
        <w:rPr>
          <w:rFonts w:ascii="Times New Roman" w:hAnsi="宋体"/>
          <w:sz w:val="20"/>
          <w:szCs w:val="20"/>
        </w:rPr>
        <w:t>健康医院</w:t>
      </w:r>
      <w:r w:rsidR="00152D2A">
        <w:rPr>
          <w:rFonts w:ascii="Times New Roman" w:hAnsi="宋体" w:hint="eastAsia"/>
          <w:sz w:val="20"/>
          <w:szCs w:val="20"/>
        </w:rPr>
        <w:t>膳食</w:t>
      </w:r>
      <w:r w:rsidRPr="002F16F7">
        <w:rPr>
          <w:rFonts w:ascii="Times New Roman" w:hAnsi="宋体"/>
          <w:sz w:val="20"/>
          <w:szCs w:val="20"/>
        </w:rPr>
        <w:t>。</w:t>
      </w:r>
    </w:p>
    <w:p w:rsidR="00152D2A" w:rsidRPr="004F20CE" w:rsidRDefault="00152D2A" w:rsidP="00152D2A">
      <w:pPr>
        <w:pStyle w:val="tgt2"/>
        <w:adjustRightInd w:val="0"/>
        <w:snapToGrid w:val="0"/>
        <w:spacing w:afterLines="50" w:after="120" w:line="240" w:lineRule="auto"/>
        <w:jc w:val="both"/>
        <w:rPr>
          <w:rFonts w:ascii="Times New Roman" w:hAnsi="Times New Roman"/>
          <w:kern w:val="2"/>
          <w:sz w:val="20"/>
          <w:szCs w:val="20"/>
          <w:u w:val="single"/>
        </w:rPr>
      </w:pPr>
      <w:r w:rsidRPr="004F20CE">
        <w:rPr>
          <w:rFonts w:ascii="Times New Roman"/>
          <w:kern w:val="2"/>
          <w:sz w:val="20"/>
          <w:szCs w:val="20"/>
          <w:u w:val="single"/>
        </w:rPr>
        <w:t>纽约的医院尝试提供更加健康的餐食</w:t>
      </w:r>
    </w:p>
    <w:p w:rsidR="00152D2A" w:rsidRPr="004F20CE" w:rsidRDefault="00152D2A" w:rsidP="00152D2A">
      <w:pPr>
        <w:adjustRightInd w:val="0"/>
        <w:snapToGrid w:val="0"/>
        <w:spacing w:afterLines="50" w:after="120"/>
        <w:ind w:firstLineChars="200" w:firstLine="400"/>
        <w:rPr>
          <w:rFonts w:ascii="Times New Roman" w:hAnsi="Times New Roman"/>
          <w:sz w:val="20"/>
          <w:szCs w:val="20"/>
        </w:rPr>
      </w:pPr>
      <w:r w:rsidRPr="004F20CE">
        <w:rPr>
          <w:rFonts w:ascii="Times New Roman" w:hAnsi="宋体"/>
          <w:sz w:val="20"/>
          <w:szCs w:val="20"/>
        </w:rPr>
        <w:t>在纽约市，</w:t>
      </w:r>
      <w:r w:rsidRPr="004F20CE">
        <w:rPr>
          <w:rFonts w:ascii="Times New Roman" w:hAnsi="Times New Roman"/>
          <w:sz w:val="20"/>
          <w:szCs w:val="20"/>
        </w:rPr>
        <w:t>“</w:t>
      </w:r>
      <w:r w:rsidRPr="004F20CE">
        <w:rPr>
          <w:rFonts w:ascii="Times New Roman" w:hAnsi="宋体"/>
          <w:sz w:val="20"/>
          <w:szCs w:val="20"/>
        </w:rPr>
        <w:t>医院健康食品计划</w:t>
      </w:r>
      <w:r w:rsidRPr="004F20CE">
        <w:rPr>
          <w:rFonts w:ascii="Times New Roman" w:hAnsi="Times New Roman"/>
          <w:sz w:val="20"/>
          <w:szCs w:val="20"/>
        </w:rPr>
        <w:t>”(HHFI)</w:t>
      </w:r>
      <w:r w:rsidRPr="004F20CE">
        <w:rPr>
          <w:rFonts w:ascii="Times New Roman" w:hAnsi="宋体"/>
          <w:sz w:val="20"/>
          <w:szCs w:val="20"/>
        </w:rPr>
        <w:t>为医院可以接受的常规饮食患者餐食提供了营养标准，同时也对餐食零售制定了相应标准。近期发表在《营养学和饮食研究学会会刊》</w:t>
      </w:r>
      <w:r w:rsidRPr="004F20CE">
        <w:rPr>
          <w:rFonts w:ascii="Times New Roman" w:hAnsi="Times New Roman"/>
          <w:sz w:val="20"/>
          <w:szCs w:val="20"/>
        </w:rPr>
        <w:t xml:space="preserve"> (</w:t>
      </w:r>
      <w:r w:rsidRPr="004F20CE">
        <w:rPr>
          <w:rFonts w:ascii="Times New Roman" w:hAnsi="Times New Roman"/>
          <w:i/>
          <w:iCs/>
          <w:sz w:val="20"/>
          <w:szCs w:val="20"/>
        </w:rPr>
        <w:t xml:space="preserve">Journal of the Academy of Nutrition and Dietetics) </w:t>
      </w:r>
      <w:r w:rsidRPr="004F20CE">
        <w:rPr>
          <w:rFonts w:ascii="Times New Roman" w:hAnsi="宋体"/>
          <w:sz w:val="20"/>
          <w:szCs w:val="20"/>
        </w:rPr>
        <w:t>上的一项新的研究对</w:t>
      </w:r>
      <w:r w:rsidRPr="004F20CE">
        <w:rPr>
          <w:rFonts w:ascii="Times New Roman" w:hAnsi="Times New Roman"/>
          <w:sz w:val="20"/>
          <w:szCs w:val="20"/>
        </w:rPr>
        <w:t>“</w:t>
      </w:r>
      <w:r w:rsidRPr="004F20CE">
        <w:rPr>
          <w:rFonts w:ascii="Times New Roman" w:hAnsi="宋体"/>
          <w:sz w:val="20"/>
          <w:szCs w:val="20"/>
        </w:rPr>
        <w:t>医院健康食品计划</w:t>
      </w:r>
      <w:r w:rsidRPr="004F20CE">
        <w:rPr>
          <w:rFonts w:ascii="Times New Roman" w:hAnsi="Times New Roman"/>
          <w:sz w:val="20"/>
          <w:szCs w:val="20"/>
        </w:rPr>
        <w:t>”</w:t>
      </w:r>
      <w:r w:rsidRPr="004F20CE">
        <w:rPr>
          <w:rFonts w:ascii="Times New Roman" w:hAnsi="宋体"/>
          <w:sz w:val="20"/>
          <w:szCs w:val="20"/>
        </w:rPr>
        <w:t>实施前和实施后的医院餐食做了评估，发现虽然不是所有的常规饮食饭菜都达到了该计划所规定的基线标准，但是在该计划实施后，所有参与医院在关键的营养指标上都实现了达标。通过对比参与该计划的医院患者餐食在计划干预前和干预后的</w:t>
      </w:r>
      <w:r w:rsidRPr="004F20CE">
        <w:rPr>
          <w:rFonts w:ascii="Times New Roman" w:hAnsi="Times New Roman"/>
          <w:sz w:val="20"/>
          <w:szCs w:val="20"/>
        </w:rPr>
        <w:t>7</w:t>
      </w:r>
      <w:r w:rsidRPr="004F20CE">
        <w:rPr>
          <w:rFonts w:ascii="Times New Roman" w:hAnsi="宋体"/>
          <w:sz w:val="20"/>
          <w:szCs w:val="20"/>
        </w:rPr>
        <w:t>日平均钠含量发现，饭菜中的平均钠含量减少</w:t>
      </w:r>
      <w:bookmarkStart w:id="0" w:name="_GoBack"/>
      <w:bookmarkEnd w:id="0"/>
      <w:r w:rsidRPr="004F20CE">
        <w:rPr>
          <w:rFonts w:ascii="Times New Roman" w:hAnsi="宋体"/>
          <w:sz w:val="20"/>
          <w:szCs w:val="20"/>
        </w:rPr>
        <w:t>了</w:t>
      </w:r>
      <w:r w:rsidRPr="004F20CE">
        <w:rPr>
          <w:rFonts w:ascii="Times New Roman" w:hAnsi="Times New Roman"/>
          <w:sz w:val="20"/>
          <w:szCs w:val="20"/>
        </w:rPr>
        <w:t>19%</w:t>
      </w:r>
      <w:r w:rsidRPr="004F20CE">
        <w:rPr>
          <w:rFonts w:ascii="Times New Roman" w:hAnsi="宋体"/>
          <w:sz w:val="20"/>
          <w:szCs w:val="20"/>
        </w:rPr>
        <w:t>，而且有一半的医院减钠达到了</w:t>
      </w:r>
      <w:r w:rsidRPr="004F20CE">
        <w:rPr>
          <w:rFonts w:ascii="Times New Roman" w:hAnsi="Times New Roman"/>
          <w:sz w:val="20"/>
          <w:szCs w:val="20"/>
        </w:rPr>
        <w:t>850</w:t>
      </w:r>
      <w:r w:rsidRPr="004F20CE">
        <w:rPr>
          <w:rFonts w:ascii="Times New Roman" w:hAnsi="宋体"/>
          <w:sz w:val="20"/>
          <w:szCs w:val="20"/>
        </w:rPr>
        <w:t>毫克甚至更多。该研究的分析数据涵盖了在</w:t>
      </w:r>
      <w:r w:rsidRPr="004F20CE">
        <w:rPr>
          <w:rFonts w:ascii="Times New Roman" w:hAnsi="Times New Roman"/>
          <w:sz w:val="20"/>
          <w:szCs w:val="20"/>
        </w:rPr>
        <w:t>2010</w:t>
      </w:r>
      <w:r w:rsidRPr="004F20CE">
        <w:rPr>
          <w:rFonts w:ascii="Times New Roman" w:hAnsi="宋体"/>
          <w:sz w:val="20"/>
          <w:szCs w:val="20"/>
        </w:rPr>
        <w:t>年至</w:t>
      </w:r>
      <w:r w:rsidRPr="004F20CE">
        <w:rPr>
          <w:rFonts w:ascii="Times New Roman" w:hAnsi="Times New Roman"/>
          <w:sz w:val="20"/>
          <w:szCs w:val="20"/>
        </w:rPr>
        <w:t>2014</w:t>
      </w:r>
      <w:r w:rsidRPr="004F20CE">
        <w:rPr>
          <w:rFonts w:ascii="Times New Roman" w:hAnsi="宋体"/>
          <w:sz w:val="20"/>
          <w:szCs w:val="20"/>
        </w:rPr>
        <w:t>年之间参与</w:t>
      </w:r>
      <w:r w:rsidRPr="004F20CE">
        <w:rPr>
          <w:rFonts w:ascii="Times New Roman" w:hAnsi="Times New Roman"/>
          <w:sz w:val="20"/>
          <w:szCs w:val="20"/>
        </w:rPr>
        <w:t>“</w:t>
      </w:r>
      <w:r w:rsidRPr="004F20CE">
        <w:rPr>
          <w:rFonts w:ascii="Times New Roman" w:hAnsi="宋体"/>
          <w:sz w:val="20"/>
          <w:szCs w:val="20"/>
        </w:rPr>
        <w:t>医院健康食品计划</w:t>
      </w:r>
      <w:r w:rsidRPr="004F20CE">
        <w:rPr>
          <w:rFonts w:ascii="Times New Roman" w:hAnsi="Times New Roman"/>
          <w:sz w:val="20"/>
          <w:szCs w:val="20"/>
        </w:rPr>
        <w:t>”</w:t>
      </w:r>
      <w:r w:rsidRPr="004F20CE">
        <w:rPr>
          <w:rFonts w:ascii="Times New Roman" w:hAnsi="宋体"/>
          <w:sz w:val="20"/>
          <w:szCs w:val="20"/>
        </w:rPr>
        <w:t>的</w:t>
      </w:r>
      <w:r w:rsidRPr="004F20CE">
        <w:rPr>
          <w:rFonts w:ascii="Times New Roman" w:hAnsi="Times New Roman"/>
          <w:sz w:val="20"/>
          <w:szCs w:val="20"/>
        </w:rPr>
        <w:t>8</w:t>
      </w:r>
      <w:r w:rsidRPr="004F20CE">
        <w:rPr>
          <w:rFonts w:ascii="Times New Roman" w:hAnsi="宋体"/>
          <w:sz w:val="20"/>
          <w:szCs w:val="20"/>
        </w:rPr>
        <w:t>家纽约市的医院。</w:t>
      </w:r>
    </w:p>
    <w:p w:rsidR="00152D2A" w:rsidRPr="004F20CE" w:rsidRDefault="00152D2A" w:rsidP="00152D2A">
      <w:pPr>
        <w:adjustRightInd w:val="0"/>
        <w:snapToGrid w:val="0"/>
        <w:spacing w:afterLines="50" w:after="120"/>
        <w:ind w:firstLineChars="200" w:firstLine="400"/>
        <w:rPr>
          <w:rFonts w:ascii="Times New Roman" w:hAnsi="Times New Roman"/>
          <w:sz w:val="20"/>
          <w:szCs w:val="20"/>
        </w:rPr>
      </w:pPr>
      <w:r w:rsidRPr="004F20CE">
        <w:rPr>
          <w:rFonts w:ascii="Times New Roman" w:hAnsi="宋体"/>
          <w:sz w:val="20"/>
          <w:szCs w:val="20"/>
        </w:rPr>
        <w:t>该研究题为：</w:t>
      </w:r>
      <w:r>
        <w:rPr>
          <w:rFonts w:ascii="Times New Roman" w:hAnsi="Times New Roman" w:hint="eastAsia"/>
          <w:sz w:val="20"/>
          <w:szCs w:val="20"/>
        </w:rPr>
        <w:t>《</w:t>
      </w:r>
      <w:r w:rsidRPr="004F20CE">
        <w:rPr>
          <w:rFonts w:ascii="Times New Roman" w:hAnsi="宋体"/>
          <w:sz w:val="20"/>
          <w:szCs w:val="20"/>
        </w:rPr>
        <w:t>贯彻营养标准，改善医院患者餐食质量：纽约市医院健康食品计划调研</w:t>
      </w:r>
      <w:r>
        <w:rPr>
          <w:rFonts w:ascii="Times New Roman" w:hAnsi="Times New Roman" w:hint="eastAsia"/>
          <w:sz w:val="20"/>
          <w:szCs w:val="20"/>
        </w:rPr>
        <w:t>》</w:t>
      </w:r>
      <w:r w:rsidRPr="004F20CE">
        <w:rPr>
          <w:rFonts w:ascii="Times New Roman" w:hAnsi="宋体"/>
          <w:sz w:val="20"/>
          <w:szCs w:val="20"/>
        </w:rPr>
        <w:t>。文章可通过以下链接查阅：</w:t>
      </w:r>
    </w:p>
    <w:p w:rsidR="00152D2A" w:rsidRPr="004F20CE" w:rsidRDefault="00152D2A" w:rsidP="00152D2A">
      <w:pPr>
        <w:pStyle w:val="NormalWeb"/>
        <w:adjustRightInd w:val="0"/>
        <w:snapToGrid w:val="0"/>
        <w:spacing w:afterLines="50" w:after="120"/>
        <w:ind w:firstLineChars="200" w:firstLine="480"/>
        <w:jc w:val="both"/>
        <w:rPr>
          <w:rFonts w:ascii="Times New Roman" w:hAnsi="Times New Roman"/>
          <w:sz w:val="20"/>
          <w:szCs w:val="20"/>
        </w:rPr>
      </w:pPr>
      <w:hyperlink r:id="rId9" w:history="1">
        <w:r w:rsidRPr="004F20CE">
          <w:rPr>
            <w:rStyle w:val="Hyperlink"/>
            <w:rFonts w:ascii="Times New Roman" w:hAnsi="Times New Roman"/>
            <w:sz w:val="20"/>
            <w:szCs w:val="20"/>
          </w:rPr>
          <w:t>http://www.andjrnl.org/article/S2212-2672(15)01226-5/abstract</w:t>
        </w:r>
      </w:hyperlink>
      <w:r w:rsidRPr="004F20CE">
        <w:rPr>
          <w:rFonts w:ascii="Times New Roman" w:hAnsi="Times New Roman"/>
          <w:sz w:val="20"/>
          <w:szCs w:val="20"/>
        </w:rPr>
        <w:t xml:space="preserve">. </w:t>
      </w:r>
    </w:p>
    <w:p w:rsidR="00E1357F" w:rsidRDefault="00E1357F" w:rsidP="00B24E61">
      <w:pPr>
        <w:spacing w:after="120" w:line="360" w:lineRule="auto"/>
        <w:ind w:right="300"/>
        <w:rPr>
          <w:rFonts w:hAnsi="宋体"/>
          <w:color w:val="222222"/>
          <w:szCs w:val="21"/>
          <w:lang w:val="en-GB"/>
        </w:rPr>
      </w:pPr>
      <w:r>
        <w:rPr>
          <w:rFonts w:hAnsi="宋体" w:hint="eastAsia"/>
          <w:color w:val="222222"/>
          <w:sz w:val="20"/>
          <w:szCs w:val="21"/>
        </w:rPr>
        <w:t>感谢您对减少钠摄入长期以来的关注和支持！</w:t>
      </w:r>
      <w:r>
        <w:rPr>
          <w:rFonts w:hAnsi="宋体" w:hint="eastAsia"/>
          <w:color w:val="222222"/>
          <w:sz w:val="20"/>
          <w:szCs w:val="21"/>
        </w:rPr>
        <w:t xml:space="preserve"> </w:t>
      </w:r>
    </w:p>
    <w:p w:rsidR="00E1357F" w:rsidRDefault="00E1357F" w:rsidP="00B24E61">
      <w:pPr>
        <w:spacing w:after="120" w:line="360" w:lineRule="auto"/>
        <w:ind w:right="300"/>
        <w:rPr>
          <w:rFonts w:ascii="Arial" w:hAnsi="Arial" w:cs="Arial"/>
          <w:iCs/>
          <w:sz w:val="20"/>
          <w:szCs w:val="20"/>
        </w:rPr>
      </w:pPr>
      <w:r>
        <w:rPr>
          <w:rFonts w:ascii="Arial" w:hAnsi="Arial" w:cs="Arial" w:hint="eastAsia"/>
          <w:iCs/>
          <w:sz w:val="20"/>
          <w:szCs w:val="20"/>
        </w:rPr>
        <w:t>请注意：</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0" w:history="1">
        <w:r>
          <w:rPr>
            <w:rStyle w:val="Hyperlink"/>
            <w:rFonts w:ascii="Arial" w:hAnsi="Arial" w:cs="Arial"/>
            <w:iCs/>
            <w:sz w:val="20"/>
            <w:szCs w:val="20"/>
          </w:rPr>
          <w:t>caiy@cn.cdc.gov)</w:t>
        </w:r>
      </w:hyperlink>
      <w:r>
        <w:rPr>
          <w:rFonts w:ascii="Arial" w:hAnsi="Arial" w:cs="Arial" w:hint="eastAsia"/>
          <w:iCs/>
          <w:sz w:val="20"/>
          <w:szCs w:val="20"/>
        </w:rPr>
        <w:t>。</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3B2BD1" w:rsidRPr="005B13F4" w:rsidRDefault="003B2BD1" w:rsidP="00B24E61">
      <w:pPr>
        <w:pStyle w:val="NoSpacing"/>
        <w:spacing w:after="240" w:line="360" w:lineRule="auto"/>
        <w:rPr>
          <w:rFonts w:ascii="Times New Roman" w:hAnsi="Times New Roman"/>
          <w:sz w:val="20"/>
          <w:szCs w:val="20"/>
        </w:rPr>
      </w:pPr>
      <w:r w:rsidRPr="005B13F4">
        <w:rPr>
          <w:rFonts w:ascii="Times New Roman" w:hAnsi="Times New Roman"/>
          <w:sz w:val="20"/>
          <w:szCs w:val="20"/>
          <w:u w:val="single"/>
        </w:rPr>
        <w:br w:type="page"/>
      </w:r>
    </w:p>
    <w:p w:rsidR="00357773" w:rsidRDefault="00357773" w:rsidP="00357773">
      <w:pPr>
        <w:spacing w:after="240"/>
        <w:jc w:val="center"/>
        <w:rPr>
          <w:rFonts w:ascii="Arial" w:hAnsi="Arial" w:cs="Arial"/>
          <w:sz w:val="20"/>
          <w:szCs w:val="20"/>
        </w:rPr>
      </w:pPr>
      <w:r>
        <w:rPr>
          <w:rFonts w:ascii="Arial" w:hAnsi="Arial" w:cs="Arial"/>
          <w:noProof/>
          <w:sz w:val="20"/>
          <w:szCs w:val="20"/>
        </w:rPr>
        <w:lastRenderedPageBreak/>
        <w:drawing>
          <wp:inline distT="0" distB="0" distL="0" distR="0">
            <wp:extent cx="4943475" cy="1009650"/>
            <wp:effectExtent l="0" t="0" r="9525" b="0"/>
            <wp:docPr id="3" name="Picture 3" descr="cid:image001.png@01CE9994.F55F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9994.F55F8310"/>
                    <pic:cNvPicPr>
                      <a:picLocks noChangeAspect="1" noChangeArrowheads="1"/>
                    </pic:cNvPicPr>
                  </pic:nvPicPr>
                  <pic:blipFill>
                    <a:blip r:embed="rId8" r:link="rId11">
                      <a:extLst>
                        <a:ext uri="{28A0092B-C50C-407E-A947-70E740481C1C}">
                          <a14:useLocalDpi xmlns:a14="http://schemas.microsoft.com/office/drawing/2010/main" val="0"/>
                        </a:ext>
                      </a:extLst>
                    </a:blip>
                    <a:srcRect/>
                    <a:stretch>
                      <a:fillRect/>
                    </a:stretch>
                  </pic:blipFill>
                  <pic:spPr bwMode="auto">
                    <a:xfrm>
                      <a:off x="0" y="0"/>
                      <a:ext cx="4943475" cy="1009650"/>
                    </a:xfrm>
                    <a:prstGeom prst="rect">
                      <a:avLst/>
                    </a:prstGeom>
                    <a:noFill/>
                    <a:ln>
                      <a:noFill/>
                    </a:ln>
                  </pic:spPr>
                </pic:pic>
              </a:graphicData>
            </a:graphic>
          </wp:inline>
        </w:drawing>
      </w:r>
    </w:p>
    <w:p w:rsidR="00152D2A" w:rsidRDefault="00152D2A" w:rsidP="00152D2A">
      <w:pPr>
        <w:pStyle w:val="NoSpacing"/>
        <w:spacing w:after="240"/>
        <w:rPr>
          <w:rFonts w:ascii="Arial" w:hAnsi="Arial" w:cs="Arial"/>
          <w:sz w:val="20"/>
          <w:szCs w:val="20"/>
        </w:rPr>
      </w:pPr>
      <w:r>
        <w:rPr>
          <w:rFonts w:ascii="Arial" w:hAnsi="Arial" w:cs="Arial"/>
          <w:sz w:val="20"/>
          <w:szCs w:val="20"/>
        </w:rPr>
        <w:t>Hello –</w:t>
      </w:r>
    </w:p>
    <w:p w:rsidR="00152D2A" w:rsidRDefault="00152D2A" w:rsidP="00152D2A">
      <w:pPr>
        <w:pStyle w:val="NoSpacing"/>
        <w:spacing w:after="240"/>
        <w:rPr>
          <w:rFonts w:ascii="Arial" w:hAnsi="Arial" w:cs="Arial"/>
          <w:sz w:val="20"/>
          <w:szCs w:val="20"/>
        </w:rPr>
      </w:pPr>
      <w:r>
        <w:rPr>
          <w:rFonts w:ascii="Arial" w:hAnsi="Arial" w:cs="Arial"/>
          <w:sz w:val="20"/>
          <w:szCs w:val="20"/>
        </w:rPr>
        <w:t xml:space="preserve">This week’s CDC Salt e-Update includes information on healthier hospital meals in New York City. </w:t>
      </w:r>
    </w:p>
    <w:p w:rsidR="00152D2A" w:rsidRDefault="00152D2A" w:rsidP="00152D2A">
      <w:pPr>
        <w:autoSpaceDE w:val="0"/>
        <w:autoSpaceDN w:val="0"/>
        <w:rPr>
          <w:rFonts w:ascii="Arial" w:hAnsi="Arial" w:cs="Arial"/>
          <w:sz w:val="20"/>
          <w:szCs w:val="20"/>
          <w:lang w:val="en"/>
        </w:rPr>
      </w:pPr>
      <w:r>
        <w:rPr>
          <w:rFonts w:ascii="Arial" w:hAnsi="Arial" w:cs="Arial"/>
          <w:b/>
          <w:bCs/>
          <w:sz w:val="20"/>
          <w:szCs w:val="20"/>
          <w:u w:val="single"/>
        </w:rPr>
        <w:t xml:space="preserve">Healthier Hospital Meals in New York City </w:t>
      </w:r>
      <w:r>
        <w:rPr>
          <w:rFonts w:ascii="Arial" w:hAnsi="Arial" w:cs="Arial"/>
          <w:b/>
          <w:bCs/>
          <w:sz w:val="20"/>
          <w:szCs w:val="20"/>
          <w:u w:val="single"/>
        </w:rPr>
        <w:br/>
      </w:r>
      <w:r>
        <w:rPr>
          <w:rFonts w:ascii="Arial" w:hAnsi="Arial" w:cs="Arial"/>
          <w:sz w:val="20"/>
          <w:szCs w:val="20"/>
          <w:lang w:eastAsia="en-US"/>
        </w:rPr>
        <w:t xml:space="preserve">In New York City (NYC), the Healthy Hospital Food Initiative (HHFI) offers nutrition standards for regular-diet patient meals that hospitals can adopt, in addition to retail standards. </w:t>
      </w:r>
      <w:r>
        <w:rPr>
          <w:rFonts w:ascii="Arial" w:hAnsi="Arial" w:cs="Arial"/>
          <w:sz w:val="20"/>
          <w:szCs w:val="20"/>
        </w:rPr>
        <w:t xml:space="preserve">A recent study published in the </w:t>
      </w:r>
      <w:r>
        <w:rPr>
          <w:rFonts w:ascii="Arial" w:hAnsi="Arial" w:cs="Arial"/>
          <w:i/>
          <w:iCs/>
          <w:sz w:val="20"/>
          <w:szCs w:val="20"/>
        </w:rPr>
        <w:t>Journal of the Academy of Nutrition and Dietetics</w:t>
      </w:r>
      <w:r>
        <w:rPr>
          <w:rFonts w:ascii="Arial" w:hAnsi="Arial" w:cs="Arial"/>
          <w:sz w:val="20"/>
          <w:szCs w:val="20"/>
        </w:rPr>
        <w:t xml:space="preserve"> assessed hospital meals before and after implementation of the HHFI standards and found that, while </w:t>
      </w:r>
      <w:r>
        <w:rPr>
          <w:rFonts w:ascii="Arial" w:hAnsi="Arial" w:cs="Arial"/>
          <w:sz w:val="20"/>
          <w:szCs w:val="20"/>
          <w:lang w:val="en"/>
        </w:rPr>
        <w:t xml:space="preserve">no regular-diet menu met all HHFI standards at baseline, hospitals met all key nutrient standards after implementation. </w:t>
      </w:r>
      <w:r>
        <w:rPr>
          <w:rFonts w:ascii="Arial" w:hAnsi="Arial" w:cs="Arial"/>
          <w:sz w:val="20"/>
          <w:szCs w:val="20"/>
        </w:rPr>
        <w:t xml:space="preserve">Average 7-day sodium content of the participating hospital patient menus pre- and post-intervention found that the </w:t>
      </w:r>
      <w:r>
        <w:rPr>
          <w:rFonts w:ascii="Arial" w:hAnsi="Arial" w:cs="Arial"/>
          <w:sz w:val="20"/>
          <w:szCs w:val="20"/>
          <w:lang w:val="en"/>
        </w:rPr>
        <w:t xml:space="preserve">average sodium content was reduced by 19%, and </w:t>
      </w:r>
      <w:r>
        <w:rPr>
          <w:rFonts w:ascii="Arial" w:hAnsi="Arial" w:cs="Arial"/>
          <w:sz w:val="20"/>
          <w:szCs w:val="20"/>
        </w:rPr>
        <w:t>half of the hospitals decreased sodium by 850 mg or more.</w:t>
      </w:r>
      <w:r>
        <w:rPr>
          <w:rFonts w:ascii="Arial" w:hAnsi="Arial" w:cs="Arial"/>
          <w:sz w:val="20"/>
          <w:szCs w:val="20"/>
          <w:lang w:val="en"/>
        </w:rPr>
        <w:t xml:space="preserve"> The analyses included 8 NYC hospitals participating in the HHFI between 2010 and 2014.</w:t>
      </w:r>
    </w:p>
    <w:p w:rsidR="00152D2A" w:rsidRDefault="00152D2A" w:rsidP="00152D2A">
      <w:pPr>
        <w:pStyle w:val="NormalWeb"/>
        <w:spacing w:after="240"/>
        <w:rPr>
          <w:rFonts w:ascii="Arial" w:hAnsi="Arial" w:cs="Arial"/>
          <w:sz w:val="20"/>
          <w:szCs w:val="20"/>
        </w:rPr>
      </w:pPr>
      <w:r>
        <w:rPr>
          <w:rFonts w:ascii="Arial" w:hAnsi="Arial" w:cs="Arial"/>
          <w:b/>
          <w:bCs/>
          <w:sz w:val="20"/>
          <w:szCs w:val="20"/>
          <w:u w:val="single"/>
        </w:rPr>
        <w:br/>
      </w:r>
      <w:r>
        <w:rPr>
          <w:rFonts w:ascii="Arial" w:hAnsi="Arial" w:cs="Arial"/>
          <w:sz w:val="20"/>
          <w:szCs w:val="20"/>
        </w:rPr>
        <w:t xml:space="preserve">The study, “Use of Nutrition Standards to Improve Nutritional Quality of Hospital Patient Meals: Findings from New York City’s Healthy Hospital Food Initiative” may be found here: </w:t>
      </w:r>
      <w:hyperlink r:id="rId12" w:history="1">
        <w:r>
          <w:rPr>
            <w:rStyle w:val="Hyperlink"/>
            <w:rFonts w:ascii="Arial" w:hAnsi="Arial" w:cs="Arial"/>
            <w:sz w:val="20"/>
            <w:szCs w:val="20"/>
          </w:rPr>
          <w:t>http://www.andjrnl.org/article/S2212-2672(15)01226-5/abstract</w:t>
        </w:r>
      </w:hyperlink>
      <w:r>
        <w:rPr>
          <w:rFonts w:ascii="Arial" w:hAnsi="Arial" w:cs="Arial"/>
          <w:sz w:val="20"/>
          <w:szCs w:val="20"/>
        </w:rPr>
        <w:t xml:space="preserve">. </w:t>
      </w:r>
    </w:p>
    <w:p w:rsidR="00152D2A" w:rsidRDefault="00152D2A" w:rsidP="00152D2A">
      <w:pPr>
        <w:spacing w:line="252" w:lineRule="auto"/>
        <w:rPr>
          <w:rFonts w:ascii="Arial" w:hAnsi="Arial" w:cs="Arial"/>
          <w:sz w:val="20"/>
          <w:szCs w:val="20"/>
        </w:rPr>
      </w:pPr>
      <w:r>
        <w:rPr>
          <w:rFonts w:ascii="Arial" w:hAnsi="Arial" w:cs="Arial"/>
          <w:sz w:val="20"/>
          <w:szCs w:val="20"/>
        </w:rPr>
        <w:t>Thank you for your continued engagement in sodium reduction.</w:t>
      </w:r>
    </w:p>
    <w:p w:rsidR="00152D2A" w:rsidRDefault="00152D2A" w:rsidP="00152D2A">
      <w:pPr>
        <w:spacing w:line="252" w:lineRule="auto"/>
        <w:rPr>
          <w:sz w:val="20"/>
          <w:szCs w:val="20"/>
        </w:rPr>
      </w:pPr>
    </w:p>
    <w:p w:rsidR="00152D2A" w:rsidRDefault="00152D2A" w:rsidP="00152D2A">
      <w:pPr>
        <w:rPr>
          <w:rFonts w:ascii="Arial" w:hAnsi="Arial" w:cs="Arial"/>
          <w:sz w:val="20"/>
          <w:szCs w:val="20"/>
        </w:rPr>
      </w:pPr>
      <w:r>
        <w:rPr>
          <w:rFonts w:ascii="Arial" w:hAnsi="Arial" w:cs="Arial"/>
          <w:i/>
          <w:iCs/>
          <w:sz w:val="20"/>
          <w:szCs w:val="20"/>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Jessica Levings at</w:t>
      </w:r>
      <w:r>
        <w:rPr>
          <w:rFonts w:ascii="Arial" w:hAnsi="Arial" w:cs="Arial"/>
          <w:sz w:val="20"/>
          <w:szCs w:val="20"/>
        </w:rPr>
        <w:t xml:space="preserve"> </w:t>
      </w:r>
      <w:hyperlink r:id="rId13" w:history="1">
        <w:r>
          <w:rPr>
            <w:rStyle w:val="Hyperlink"/>
            <w:rFonts w:ascii="Arial" w:hAnsi="Arial" w:cs="Arial"/>
            <w:i/>
            <w:iCs/>
            <w:sz w:val="20"/>
            <w:szCs w:val="20"/>
          </w:rPr>
          <w:t>JLevings@cdc.gov</w:t>
        </w:r>
      </w:hyperlink>
      <w:r>
        <w:rPr>
          <w:rFonts w:ascii="Arial" w:hAnsi="Arial" w:cs="Arial"/>
          <w:i/>
          <w:iCs/>
          <w:sz w:val="20"/>
          <w:szCs w:val="20"/>
        </w:rPr>
        <w:t xml:space="preserve">. </w:t>
      </w:r>
    </w:p>
    <w:p w:rsidR="00152D2A" w:rsidRDefault="00152D2A" w:rsidP="00152D2A">
      <w:pPr>
        <w:pStyle w:val="NormalWeb"/>
        <w:rPr>
          <w:color w:val="1F497D"/>
          <w:sz w:val="20"/>
          <w:szCs w:val="20"/>
        </w:rPr>
      </w:pPr>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r>
        <w:rPr>
          <w:sz w:val="20"/>
          <w:szCs w:val="20"/>
        </w:rPr>
        <w:t>.</w:t>
      </w:r>
    </w:p>
    <w:p w:rsidR="00E1357F" w:rsidRPr="005B13F4" w:rsidRDefault="00E1357F" w:rsidP="00152D2A">
      <w:pPr>
        <w:pStyle w:val="NoSpacing"/>
        <w:spacing w:after="240"/>
        <w:rPr>
          <w:rFonts w:ascii="Times New Roman" w:hAnsi="Times New Roman"/>
          <w:sz w:val="20"/>
          <w:szCs w:val="20"/>
        </w:rPr>
      </w:pPr>
    </w:p>
    <w:sectPr w:rsidR="00E1357F" w:rsidRPr="005B13F4"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355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38"/>
    <w:rsid w:val="00053074"/>
    <w:rsid w:val="00152D2A"/>
    <w:rsid w:val="001B3658"/>
    <w:rsid w:val="00242799"/>
    <w:rsid w:val="002C4C62"/>
    <w:rsid w:val="00332838"/>
    <w:rsid w:val="003425B4"/>
    <w:rsid w:val="00357773"/>
    <w:rsid w:val="00363A77"/>
    <w:rsid w:val="003B2BD1"/>
    <w:rsid w:val="004B38F6"/>
    <w:rsid w:val="005B13F4"/>
    <w:rsid w:val="00601EC0"/>
    <w:rsid w:val="006856EC"/>
    <w:rsid w:val="00687253"/>
    <w:rsid w:val="006A2E43"/>
    <w:rsid w:val="006B5023"/>
    <w:rsid w:val="007E1095"/>
    <w:rsid w:val="00800095"/>
    <w:rsid w:val="00833AEA"/>
    <w:rsid w:val="00920E2B"/>
    <w:rsid w:val="00941BD6"/>
    <w:rsid w:val="009D0677"/>
    <w:rsid w:val="00A55D9F"/>
    <w:rsid w:val="00A979B8"/>
    <w:rsid w:val="00B24E61"/>
    <w:rsid w:val="00CB08F2"/>
    <w:rsid w:val="00CD4E09"/>
    <w:rsid w:val="00D96B0C"/>
    <w:rsid w:val="00E0237B"/>
    <w:rsid w:val="00E1357F"/>
    <w:rsid w:val="00E240CA"/>
    <w:rsid w:val="00F75F49"/>
    <w:rsid w:val="00FB1737"/>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A591552-86FD-4407-B6E2-CC27C8EE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uiPriority w:val="99"/>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4B38F6"/>
    <w:rPr>
      <w:rFonts w:ascii="Calibri" w:hAnsi="Calibri"/>
      <w:sz w:val="18"/>
      <w:szCs w:val="18"/>
    </w:rPr>
  </w:style>
  <w:style w:type="paragraph" w:styleId="NoSpacing">
    <w:name w:val="No Spacing"/>
    <w:basedOn w:val="Normal"/>
    <w:uiPriority w:val="1"/>
    <w:qFormat/>
    <w:rsid w:val="003B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3165">
      <w:bodyDiv w:val="1"/>
      <w:marLeft w:val="0"/>
      <w:marRight w:val="0"/>
      <w:marTop w:val="0"/>
      <w:marBottom w:val="0"/>
      <w:divBdr>
        <w:top w:val="none" w:sz="0" w:space="0" w:color="auto"/>
        <w:left w:val="none" w:sz="0" w:space="0" w:color="auto"/>
        <w:bottom w:val="none" w:sz="0" w:space="0" w:color="auto"/>
        <w:right w:val="none" w:sz="0" w:space="0" w:color="auto"/>
      </w:divBdr>
    </w:div>
    <w:div w:id="121786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Levings@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djrnl.org/article/S2212-2672(15)01226-5/abstra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00EF.ED77A5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iy@cn.cdc.gov)" TargetMode="External"/><Relationship Id="rId4" Type="http://schemas.openxmlformats.org/officeDocument/2006/relationships/settings" Target="settings.xml"/><Relationship Id="rId9" Type="http://schemas.openxmlformats.org/officeDocument/2006/relationships/hyperlink" Target="http://www.andjrnl.org/article/S2212-2672(15)01226-5/abstrac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Cai Ying (CDC/CGH/NCD)</cp:lastModifiedBy>
  <cp:revision>4</cp:revision>
  <dcterms:created xsi:type="dcterms:W3CDTF">2015-11-17T05:20:00Z</dcterms:created>
  <dcterms:modified xsi:type="dcterms:W3CDTF">2015-11-17T05:26:00Z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