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SimSun"/>
          <w:sz w:val="20"/>
          <w:szCs w:val="20"/>
        </w:rPr>
        <w:t>《减盐资讯》汇总</w:t>
      </w:r>
      <w:r w:rsidR="00B635B7" w:rsidRPr="001B5410">
        <w:rPr>
          <w:rFonts w:ascii="Times New Roman" w:hAnsi="SimSun"/>
          <w:sz w:val="20"/>
          <w:szCs w:val="20"/>
        </w:rPr>
        <w:t>自上一期起</w:t>
      </w:r>
      <w:r w:rsidRPr="001B5410">
        <w:rPr>
          <w:rFonts w:ascii="Times New Roman" w:hAnsi="SimSun"/>
          <w:sz w:val="20"/>
          <w:szCs w:val="20"/>
        </w:rPr>
        <w:t>最新的与钠摄入和减盐相关的新闻文章（或</w:t>
      </w:r>
      <w:r w:rsidR="00B635B7">
        <w:rPr>
          <w:rFonts w:ascii="Times New Roman" w:hAnsi="SimSun" w:hint="eastAsia"/>
          <w:sz w:val="20"/>
          <w:szCs w:val="20"/>
        </w:rPr>
        <w:t>标题</w:t>
      </w:r>
      <w:r w:rsidRPr="001B5410">
        <w:rPr>
          <w:rFonts w:ascii="Times New Roman" w:hAnsi="SimSun"/>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SimSun"/>
          <w:sz w:val="20"/>
          <w:szCs w:val="20"/>
        </w:rPr>
        <w:t>地方资讯、国际资讯、新的调查和研究</w:t>
      </w:r>
      <w:r w:rsidR="00B635B7">
        <w:rPr>
          <w:rFonts w:ascii="Times New Roman" w:hAnsi="SimSun" w:hint="eastAsia"/>
          <w:sz w:val="20"/>
          <w:szCs w:val="20"/>
        </w:rPr>
        <w:t>成果</w:t>
      </w:r>
      <w:r w:rsidRPr="001B5410">
        <w:rPr>
          <w:rFonts w:ascii="Times New Roman" w:hAnsi="SimSun"/>
          <w:sz w:val="20"/>
          <w:szCs w:val="20"/>
        </w:rPr>
        <w:t>等等。目的是为了让公众对与钠相关的新闻话题有一个快速了解。</w:t>
      </w:r>
    </w:p>
    <w:p w14:paraId="353DA1AA"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186FC7D5" w14:textId="359FA1DC"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w:t>
      </w:r>
      <w:r w:rsidR="00A217AF">
        <w:rPr>
          <w:rFonts w:ascii="Times New Roman" w:eastAsiaTheme="minorEastAsia" w:hAnsi="Times New Roman"/>
          <w:b/>
          <w:bCs/>
          <w:color w:val="000000"/>
          <w:sz w:val="24"/>
          <w:szCs w:val="24"/>
        </w:rPr>
        <w:t>6</w:t>
      </w:r>
      <w:r w:rsidRPr="00935083">
        <w:rPr>
          <w:rFonts w:ascii="Times New Roman" w:eastAsiaTheme="minorEastAsia" w:hAnsiTheme="minorEastAsia"/>
          <w:b/>
          <w:bCs/>
          <w:color w:val="000000"/>
          <w:sz w:val="24"/>
          <w:szCs w:val="24"/>
        </w:rPr>
        <w:t>年</w:t>
      </w:r>
      <w:r w:rsidR="00916F37">
        <w:rPr>
          <w:rFonts w:ascii="Times New Roman" w:eastAsiaTheme="minorEastAsia" w:hAnsi="Times New Roman"/>
          <w:b/>
          <w:bCs/>
          <w:color w:val="000000"/>
          <w:sz w:val="24"/>
          <w:szCs w:val="24"/>
        </w:rPr>
        <w:t>12</w:t>
      </w:r>
      <w:r w:rsidR="00902B9B">
        <w:rPr>
          <w:rFonts w:ascii="Times New Roman" w:eastAsiaTheme="minorEastAsia" w:hAnsi="Times New Roman" w:hint="eastAsia"/>
          <w:b/>
          <w:bCs/>
          <w:color w:val="000000"/>
          <w:sz w:val="24"/>
          <w:szCs w:val="24"/>
        </w:rPr>
        <w:t>月</w:t>
      </w:r>
      <w:r w:rsidR="00902B9B">
        <w:rPr>
          <w:rFonts w:ascii="Times New Roman" w:eastAsiaTheme="minorEastAsia" w:hAnsi="Times New Roman" w:hint="eastAsia"/>
          <w:b/>
          <w:bCs/>
          <w:color w:val="000000"/>
          <w:sz w:val="24"/>
          <w:szCs w:val="24"/>
        </w:rPr>
        <w:t>1</w:t>
      </w:r>
      <w:r w:rsidR="00916F37">
        <w:rPr>
          <w:rFonts w:ascii="Times New Roman" w:eastAsiaTheme="minorEastAsia" w:hAnsi="Times New Roman"/>
          <w:b/>
          <w:bCs/>
          <w:color w:val="000000"/>
          <w:sz w:val="24"/>
          <w:szCs w:val="24"/>
        </w:rPr>
        <w:t>7</w:t>
      </w:r>
      <w:r w:rsidR="00902B9B">
        <w:rPr>
          <w:rFonts w:ascii="Times New Roman" w:eastAsiaTheme="minorEastAsia" w:hAnsi="Times New Roman" w:hint="eastAsia"/>
          <w:b/>
          <w:bCs/>
          <w:color w:val="000000"/>
          <w:sz w:val="24"/>
          <w:szCs w:val="24"/>
        </w:rPr>
        <w:t>日到</w:t>
      </w:r>
      <w:r w:rsidR="00916F37">
        <w:rPr>
          <w:rFonts w:ascii="Times New Roman" w:eastAsiaTheme="minorEastAsia" w:hAnsi="Times New Roman"/>
          <w:b/>
          <w:bCs/>
          <w:color w:val="000000"/>
          <w:sz w:val="24"/>
          <w:szCs w:val="24"/>
        </w:rPr>
        <w:t>30</w:t>
      </w:r>
      <w:r w:rsidR="00902B9B">
        <w:rPr>
          <w:rFonts w:ascii="Times New Roman" w:eastAsiaTheme="minorEastAsia" w:hAnsi="Times New Roman" w:hint="eastAsia"/>
          <w:b/>
          <w:bCs/>
          <w:color w:val="000000"/>
          <w:sz w:val="24"/>
          <w:szCs w:val="24"/>
        </w:rPr>
        <w:t>日</w:t>
      </w:r>
    </w:p>
    <w:p w14:paraId="0E1A0661" w14:textId="7F8DEFEE" w:rsidR="005A03D6" w:rsidRPr="008135BA" w:rsidRDefault="00A217AF" w:rsidP="00E62B1D">
      <w:pPr>
        <w:tabs>
          <w:tab w:val="left" w:pos="2964"/>
        </w:tabs>
        <w:adjustRightInd w:val="0"/>
        <w:snapToGrid w:val="0"/>
        <w:spacing w:afterLines="50" w:after="120"/>
        <w:rPr>
          <w:rFonts w:ascii="Times New Roman" w:hAnsi="Times New Roman"/>
          <w:snapToGrid w:val="0"/>
          <w:color w:val="000000"/>
          <w:sz w:val="20"/>
          <w:szCs w:val="20"/>
        </w:rPr>
      </w:pPr>
      <w:r>
        <w:rPr>
          <w:rFonts w:ascii="Times New Roman" w:hAnsi="Times New Roman"/>
          <w:snapToGrid w:val="0"/>
          <w:color w:val="000000"/>
          <w:sz w:val="20"/>
          <w:szCs w:val="20"/>
        </w:rPr>
        <w:tab/>
      </w:r>
    </w:p>
    <w:p w14:paraId="5543D149" w14:textId="77777777" w:rsidR="00FC2818" w:rsidRPr="00AE19FC" w:rsidRDefault="00FC2818" w:rsidP="00FC2818">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其它信息</w:t>
      </w:r>
    </w:p>
    <w:p w14:paraId="02755D20" w14:textId="77777777" w:rsidR="00FC2818" w:rsidRPr="00384FBE" w:rsidRDefault="00FC2818" w:rsidP="00FC2818">
      <w:pPr>
        <w:pStyle w:val="NormalWeb"/>
        <w:adjustRightInd w:val="0"/>
        <w:snapToGrid w:val="0"/>
        <w:spacing w:afterLines="50" w:after="120" w:line="360" w:lineRule="auto"/>
        <w:jc w:val="both"/>
        <w:rPr>
          <w:rFonts w:ascii="Times New Roman" w:hAnsi="Times New Roman"/>
          <w:color w:val="000000"/>
          <w:sz w:val="21"/>
          <w:szCs w:val="21"/>
        </w:rPr>
      </w:pPr>
      <w:r w:rsidRPr="00384FBE">
        <w:rPr>
          <w:rStyle w:val="Hyperlink"/>
          <w:rFonts w:ascii="Times New Roman"/>
          <w:b/>
          <w:bCs/>
          <w:color w:val="800080"/>
          <w:sz w:val="21"/>
          <w:szCs w:val="21"/>
        </w:rPr>
        <w:t>钠带来健康隐患</w:t>
      </w:r>
    </w:p>
    <w:p w14:paraId="6B82422E" w14:textId="77777777" w:rsidR="00FC2818" w:rsidRPr="00384FBE" w:rsidRDefault="00FC2818" w:rsidP="00FC2818">
      <w:pPr>
        <w:adjustRightInd w:val="0"/>
        <w:snapToGrid w:val="0"/>
        <w:spacing w:afterLines="50" w:after="120" w:line="360" w:lineRule="auto"/>
        <w:rPr>
          <w:rFonts w:ascii="Times New Roman" w:hAnsi="Times New Roman"/>
          <w:color w:val="000000"/>
          <w:szCs w:val="21"/>
        </w:rPr>
      </w:pPr>
      <w:r w:rsidRPr="00384FBE">
        <w:rPr>
          <w:rFonts w:ascii="Times New Roman" w:hAnsi="SimSun"/>
          <w:color w:val="000000"/>
          <w:szCs w:val="21"/>
        </w:rPr>
        <w:t>普通美国民众每天摄入</w:t>
      </w:r>
      <w:r w:rsidRPr="00384FBE">
        <w:rPr>
          <w:rFonts w:ascii="Times New Roman" w:hAnsi="Times New Roman"/>
          <w:color w:val="000000"/>
          <w:szCs w:val="21"/>
        </w:rPr>
        <w:t>3400</w:t>
      </w:r>
      <w:r w:rsidRPr="00384FBE">
        <w:rPr>
          <w:rFonts w:ascii="Times New Roman" w:hAnsi="SimSun"/>
          <w:color w:val="000000"/>
          <w:szCs w:val="21"/>
        </w:rPr>
        <w:t>毫克钠</w:t>
      </w:r>
      <w:r w:rsidRPr="00384FBE">
        <w:rPr>
          <w:rFonts w:ascii="Times New Roman" w:hAnsi="Times New Roman"/>
          <w:color w:val="000000"/>
          <w:szCs w:val="21"/>
        </w:rPr>
        <w:t>-</w:t>
      </w:r>
      <w:r w:rsidRPr="00384FBE">
        <w:rPr>
          <w:rFonts w:ascii="Times New Roman" w:hAnsi="SimSun"/>
          <w:color w:val="000000"/>
          <w:szCs w:val="21"/>
        </w:rPr>
        <w:t>美国心脏协会（</w:t>
      </w:r>
      <w:r w:rsidRPr="00384FBE">
        <w:rPr>
          <w:rFonts w:ascii="Times New Roman" w:hAnsi="Times New Roman"/>
          <w:color w:val="000000"/>
          <w:szCs w:val="21"/>
        </w:rPr>
        <w:t>AHA</w:t>
      </w:r>
      <w:r w:rsidRPr="00384FBE">
        <w:rPr>
          <w:rFonts w:ascii="Times New Roman" w:hAnsi="SimSun"/>
          <w:color w:val="000000"/>
          <w:szCs w:val="21"/>
        </w:rPr>
        <w:t>）建议人们每天的钠摄入量不超过</w:t>
      </w:r>
      <w:r w:rsidRPr="00384FBE">
        <w:rPr>
          <w:rFonts w:ascii="Times New Roman" w:hAnsi="Times New Roman"/>
          <w:color w:val="000000"/>
          <w:szCs w:val="21"/>
        </w:rPr>
        <w:t>2300</w:t>
      </w:r>
      <w:r w:rsidRPr="00384FBE">
        <w:rPr>
          <w:rFonts w:ascii="Times New Roman" w:hAnsi="SimSun"/>
          <w:color w:val="000000"/>
          <w:szCs w:val="21"/>
        </w:rPr>
        <w:t>毫克，但理想情况下为每天</w:t>
      </w:r>
      <w:r w:rsidRPr="00384FBE">
        <w:rPr>
          <w:rFonts w:ascii="Times New Roman" w:hAnsi="Times New Roman"/>
          <w:color w:val="000000"/>
          <w:szCs w:val="21"/>
        </w:rPr>
        <w:t>1500</w:t>
      </w:r>
      <w:r w:rsidRPr="00384FBE">
        <w:rPr>
          <w:rFonts w:ascii="Times New Roman" w:hAnsi="SimSun"/>
          <w:color w:val="000000"/>
          <w:szCs w:val="21"/>
        </w:rPr>
        <w:t>毫克。</w:t>
      </w:r>
      <w:r w:rsidRPr="00384FBE">
        <w:rPr>
          <w:rFonts w:ascii="Times New Roman" w:hAnsi="Times New Roman"/>
          <w:color w:val="000000"/>
          <w:szCs w:val="21"/>
        </w:rPr>
        <w:t>AHA</w:t>
      </w:r>
      <w:r w:rsidRPr="00384FBE">
        <w:rPr>
          <w:rFonts w:ascii="Times New Roman" w:hAnsi="SimSun"/>
          <w:color w:val="000000"/>
          <w:szCs w:val="21"/>
        </w:rPr>
        <w:t>的调查显示，三分之一的成年人不知道他们的钠摄入量，一半以上的成年人认为他们每日的钠摄入量少于</w:t>
      </w:r>
      <w:r w:rsidRPr="00384FBE">
        <w:rPr>
          <w:rFonts w:ascii="Times New Roman" w:hAnsi="Times New Roman"/>
          <w:color w:val="000000"/>
          <w:szCs w:val="21"/>
        </w:rPr>
        <w:t>2000</w:t>
      </w:r>
      <w:r w:rsidRPr="00384FBE">
        <w:rPr>
          <w:rFonts w:ascii="Times New Roman" w:hAnsi="SimSun"/>
          <w:color w:val="000000"/>
          <w:szCs w:val="21"/>
        </w:rPr>
        <w:t>毫克。</w:t>
      </w:r>
      <w:r w:rsidRPr="00384FBE">
        <w:rPr>
          <w:rFonts w:ascii="Times New Roman" w:hAnsi="Times New Roman"/>
          <w:color w:val="000000"/>
          <w:szCs w:val="21"/>
        </w:rPr>
        <w:t>Maryville Hy-Vee</w:t>
      </w:r>
      <w:r w:rsidRPr="00384FBE">
        <w:rPr>
          <w:rFonts w:ascii="Times New Roman" w:hAnsi="SimSun"/>
          <w:color w:val="000000"/>
          <w:szCs w:val="21"/>
        </w:rPr>
        <w:t>超市的一名注册营养师</w:t>
      </w:r>
      <w:r w:rsidRPr="00384FBE">
        <w:rPr>
          <w:rFonts w:ascii="Times New Roman" w:hAnsi="Times New Roman"/>
          <w:color w:val="000000"/>
          <w:szCs w:val="21"/>
        </w:rPr>
        <w:t>Deanna Bowers</w:t>
      </w:r>
      <w:r w:rsidRPr="00384FBE">
        <w:rPr>
          <w:rFonts w:ascii="Times New Roman" w:hAnsi="SimSun"/>
          <w:color w:val="000000"/>
          <w:szCs w:val="21"/>
        </w:rPr>
        <w:t>建议人们选择低钠或减钠产品，包括罐装蔬菜、肉汤和熟食肉。</w:t>
      </w:r>
      <w:r w:rsidRPr="00384FBE">
        <w:rPr>
          <w:rFonts w:ascii="Times New Roman" w:hAnsi="Times New Roman"/>
          <w:color w:val="000000"/>
          <w:szCs w:val="21"/>
        </w:rPr>
        <w:t>-</w:t>
      </w:r>
      <w:r w:rsidRPr="00384FBE">
        <w:rPr>
          <w:rFonts w:ascii="Times New Roman" w:hAnsi="SimSun"/>
          <w:color w:val="000000"/>
          <w:szCs w:val="21"/>
        </w:rPr>
        <w:t>圣约瑟夫</w:t>
      </w:r>
      <w:r w:rsidRPr="00384FBE">
        <w:rPr>
          <w:rFonts w:ascii="Times New Roman" w:hAnsi="Times New Roman"/>
          <w:color w:val="000000"/>
          <w:szCs w:val="21"/>
        </w:rPr>
        <w:t>-</w:t>
      </w:r>
      <w:r w:rsidRPr="00384FBE">
        <w:rPr>
          <w:rFonts w:ascii="Times New Roman" w:hAnsi="SimSun"/>
          <w:color w:val="000000"/>
          <w:szCs w:val="21"/>
        </w:rPr>
        <w:t>《新闻报》（</w:t>
      </w:r>
      <w:r w:rsidRPr="00384FBE">
        <w:rPr>
          <w:rFonts w:ascii="Times New Roman" w:hAnsi="Times New Roman"/>
          <w:color w:val="000000"/>
          <w:szCs w:val="21"/>
        </w:rPr>
        <w:t>News-Press</w:t>
      </w:r>
      <w:r w:rsidRPr="00384FBE">
        <w:rPr>
          <w:rFonts w:ascii="Times New Roman" w:hAnsi="SimSun"/>
          <w:color w:val="000000"/>
          <w:szCs w:val="21"/>
        </w:rPr>
        <w:t>）</w:t>
      </w:r>
    </w:p>
    <w:p w14:paraId="3405C4EE" w14:textId="77777777" w:rsidR="00FC2818" w:rsidRPr="00384FBE" w:rsidRDefault="00FC2818" w:rsidP="00FC2818">
      <w:pPr>
        <w:adjustRightInd w:val="0"/>
        <w:snapToGrid w:val="0"/>
        <w:spacing w:afterLines="50" w:after="120" w:line="360" w:lineRule="auto"/>
        <w:rPr>
          <w:rFonts w:ascii="Times New Roman" w:hAnsi="Times New Roman"/>
          <w:color w:val="000000"/>
          <w:szCs w:val="21"/>
          <w:u w:val="single"/>
        </w:rPr>
      </w:pPr>
      <w:r w:rsidRPr="00384FBE">
        <w:rPr>
          <w:rStyle w:val="Hyperlink"/>
          <w:rFonts w:ascii="Times New Roman" w:hAnsi="SimSun"/>
          <w:b/>
          <w:bCs/>
          <w:color w:val="800080"/>
          <w:szCs w:val="21"/>
        </w:rPr>
        <w:t>减钠指南</w:t>
      </w:r>
      <w:r w:rsidRPr="00384FBE">
        <w:rPr>
          <w:rStyle w:val="Hyperlink"/>
          <w:rFonts w:ascii="Times New Roman" w:hAnsi="Times New Roman"/>
          <w:b/>
          <w:bCs/>
          <w:color w:val="800080"/>
          <w:szCs w:val="21"/>
        </w:rPr>
        <w:t>-</w:t>
      </w:r>
      <w:r w:rsidRPr="00384FBE">
        <w:rPr>
          <w:rStyle w:val="Hyperlink"/>
          <w:rFonts w:ascii="Times New Roman" w:hAnsi="SimSun"/>
          <w:b/>
          <w:bCs/>
          <w:color w:val="800080"/>
          <w:szCs w:val="21"/>
        </w:rPr>
        <w:t>数年如一日</w:t>
      </w:r>
    </w:p>
    <w:p w14:paraId="5C60AC76" w14:textId="77777777" w:rsidR="00FC2818" w:rsidRPr="00384FBE" w:rsidRDefault="00FC2818" w:rsidP="00FC2818">
      <w:pPr>
        <w:pStyle w:val="NormalWeb"/>
        <w:adjustRightInd w:val="0"/>
        <w:snapToGrid w:val="0"/>
        <w:spacing w:afterLines="50" w:after="120" w:line="360" w:lineRule="auto"/>
        <w:jc w:val="both"/>
        <w:rPr>
          <w:rFonts w:ascii="Times New Roman" w:hAnsi="Times New Roman"/>
          <w:color w:val="000000"/>
          <w:sz w:val="21"/>
          <w:szCs w:val="21"/>
        </w:rPr>
      </w:pPr>
      <w:r w:rsidRPr="00384FBE">
        <w:rPr>
          <w:rFonts w:ascii="Times New Roman" w:hAnsi="Times New Roman"/>
          <w:color w:val="000000"/>
          <w:sz w:val="21"/>
          <w:szCs w:val="21"/>
        </w:rPr>
        <w:t>Kay Alberg</w:t>
      </w:r>
      <w:r w:rsidRPr="00384FBE">
        <w:rPr>
          <w:rFonts w:ascii="Times New Roman"/>
          <w:color w:val="000000"/>
          <w:sz w:val="21"/>
          <w:szCs w:val="21"/>
        </w:rPr>
        <w:t>是一位母亲，也是梅奥诊所健康系统的一位注册营养师，她表示，减钠是她家膳食的头等大事。</w:t>
      </w:r>
      <w:r w:rsidRPr="00384FBE">
        <w:rPr>
          <w:rFonts w:ascii="Times New Roman" w:hAnsi="Times New Roman"/>
          <w:color w:val="000000"/>
          <w:sz w:val="21"/>
          <w:szCs w:val="21"/>
        </w:rPr>
        <w:t>Alberg</w:t>
      </w:r>
      <w:r w:rsidRPr="00384FBE">
        <w:rPr>
          <w:rFonts w:ascii="Times New Roman"/>
          <w:color w:val="000000"/>
          <w:sz w:val="21"/>
          <w:szCs w:val="21"/>
        </w:rPr>
        <w:t>提供了一些关于减少钠摄入量的建议，包括限制烹调中食盐的用量、检查调味品中的钠含量以及限制预包装或加工食品的食用次数。</w:t>
      </w:r>
      <w:r w:rsidRPr="00384FBE">
        <w:rPr>
          <w:rFonts w:ascii="Times New Roman" w:hAnsi="Times New Roman"/>
          <w:color w:val="000000"/>
          <w:sz w:val="21"/>
          <w:szCs w:val="21"/>
        </w:rPr>
        <w:t>-</w:t>
      </w:r>
      <w:r w:rsidRPr="00384FBE">
        <w:rPr>
          <w:rFonts w:ascii="Times New Roman"/>
          <w:color w:val="000000"/>
          <w:sz w:val="21"/>
          <w:szCs w:val="21"/>
        </w:rPr>
        <w:t>《契皮瓦先驱报》（</w:t>
      </w:r>
      <w:r w:rsidRPr="00384FBE">
        <w:rPr>
          <w:rFonts w:ascii="Times New Roman" w:hAnsi="Times New Roman"/>
          <w:color w:val="000000"/>
          <w:sz w:val="21"/>
          <w:szCs w:val="21"/>
        </w:rPr>
        <w:t>Chippewa Herald</w:t>
      </w:r>
      <w:r w:rsidRPr="00384FBE">
        <w:rPr>
          <w:rFonts w:ascii="Times New Roman"/>
          <w:color w:val="000000"/>
          <w:sz w:val="21"/>
          <w:szCs w:val="21"/>
        </w:rPr>
        <w:t>）</w:t>
      </w:r>
    </w:p>
    <w:p w14:paraId="36EC7CA2" w14:textId="77777777" w:rsidR="0042443F" w:rsidRPr="00AE19FC" w:rsidRDefault="0042443F" w:rsidP="0042443F">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国际新闻</w:t>
      </w:r>
    </w:p>
    <w:p w14:paraId="306CFFC8" w14:textId="77777777" w:rsidR="0042443F" w:rsidRPr="00384FBE" w:rsidRDefault="0042443F" w:rsidP="0042443F">
      <w:pPr>
        <w:adjustRightInd w:val="0"/>
        <w:snapToGrid w:val="0"/>
        <w:spacing w:afterLines="50" w:after="120" w:line="360" w:lineRule="auto"/>
        <w:rPr>
          <w:rFonts w:ascii="Times New Roman" w:hAnsi="Times New Roman"/>
          <w:color w:val="000000"/>
          <w:szCs w:val="21"/>
        </w:rPr>
      </w:pPr>
      <w:r w:rsidRPr="00384FBE">
        <w:rPr>
          <w:rStyle w:val="Hyperlink"/>
          <w:rFonts w:ascii="Times New Roman" w:hAnsi="SimSun"/>
          <w:b/>
          <w:bCs/>
          <w:color w:val="800080"/>
          <w:szCs w:val="21"/>
        </w:rPr>
        <w:t>韩国政府减钠计划取得成功</w:t>
      </w:r>
    </w:p>
    <w:p w14:paraId="609D65C2" w14:textId="77777777" w:rsidR="0042443F" w:rsidRPr="00384FBE" w:rsidRDefault="0042443F" w:rsidP="0042443F">
      <w:pPr>
        <w:pStyle w:val="NormalWeb"/>
        <w:adjustRightInd w:val="0"/>
        <w:snapToGrid w:val="0"/>
        <w:spacing w:afterLines="50" w:after="120" w:line="360" w:lineRule="auto"/>
        <w:jc w:val="both"/>
        <w:rPr>
          <w:rFonts w:ascii="Times New Roman" w:hAnsi="Times New Roman"/>
          <w:color w:val="000000"/>
          <w:sz w:val="21"/>
          <w:szCs w:val="21"/>
        </w:rPr>
      </w:pPr>
      <w:r w:rsidRPr="00384FBE">
        <w:rPr>
          <w:rFonts w:ascii="Times New Roman"/>
          <w:color w:val="000000"/>
          <w:sz w:val="21"/>
          <w:szCs w:val="21"/>
        </w:rPr>
        <w:t>韩国健康促进基金会的数据显示，</w:t>
      </w:r>
      <w:r w:rsidRPr="00384FBE">
        <w:rPr>
          <w:rFonts w:ascii="Times New Roman" w:hAnsi="Times New Roman"/>
          <w:color w:val="000000"/>
          <w:sz w:val="21"/>
          <w:szCs w:val="21"/>
        </w:rPr>
        <w:t>2010</w:t>
      </w:r>
      <w:r w:rsidRPr="00384FBE">
        <w:rPr>
          <w:rFonts w:ascii="Times New Roman"/>
          <w:color w:val="000000"/>
          <w:sz w:val="21"/>
          <w:szCs w:val="21"/>
        </w:rPr>
        <w:t>年以来，韩国人的每日钠摄入量减少了约</w:t>
      </w:r>
      <w:r w:rsidRPr="00384FBE">
        <w:rPr>
          <w:rFonts w:ascii="Times New Roman" w:hAnsi="Times New Roman"/>
          <w:color w:val="000000"/>
          <w:sz w:val="21"/>
          <w:szCs w:val="21"/>
        </w:rPr>
        <w:t>19%</w:t>
      </w:r>
      <w:r w:rsidRPr="00384FBE">
        <w:rPr>
          <w:rFonts w:ascii="Times New Roman"/>
          <w:color w:val="000000"/>
          <w:sz w:val="21"/>
          <w:szCs w:val="21"/>
        </w:rPr>
        <w:t>。韩国第一次国民钠摄入量官方调查始于</w:t>
      </w:r>
      <w:r w:rsidRPr="00384FBE">
        <w:rPr>
          <w:rFonts w:ascii="Times New Roman" w:hAnsi="Times New Roman"/>
          <w:color w:val="000000"/>
          <w:sz w:val="21"/>
          <w:szCs w:val="21"/>
        </w:rPr>
        <w:t>1998</w:t>
      </w:r>
      <w:r w:rsidRPr="00384FBE">
        <w:rPr>
          <w:rFonts w:ascii="Times New Roman"/>
          <w:color w:val="000000"/>
          <w:sz w:val="21"/>
          <w:szCs w:val="21"/>
        </w:rPr>
        <w:t>年，当时，国民日均钠摄入量高达</w:t>
      </w:r>
      <w:r w:rsidRPr="00384FBE">
        <w:rPr>
          <w:rFonts w:ascii="Times New Roman" w:hAnsi="Times New Roman"/>
          <w:color w:val="000000"/>
          <w:sz w:val="21"/>
          <w:szCs w:val="21"/>
        </w:rPr>
        <w:t>4500</w:t>
      </w:r>
      <w:r w:rsidRPr="00384FBE">
        <w:rPr>
          <w:rFonts w:ascii="Times New Roman"/>
          <w:color w:val="000000"/>
          <w:sz w:val="21"/>
          <w:szCs w:val="21"/>
        </w:rPr>
        <w:t>至</w:t>
      </w:r>
      <w:r w:rsidRPr="00384FBE">
        <w:rPr>
          <w:rFonts w:ascii="Times New Roman" w:hAnsi="Times New Roman"/>
          <w:color w:val="000000"/>
          <w:sz w:val="21"/>
          <w:szCs w:val="21"/>
        </w:rPr>
        <w:t>4800</w:t>
      </w:r>
      <w:r w:rsidRPr="00384FBE">
        <w:rPr>
          <w:rFonts w:ascii="Times New Roman"/>
          <w:color w:val="000000"/>
          <w:sz w:val="21"/>
          <w:szCs w:val="21"/>
        </w:rPr>
        <w:t>毫克，</w:t>
      </w:r>
      <w:r w:rsidRPr="00384FBE">
        <w:rPr>
          <w:rFonts w:ascii="Times New Roman" w:hAnsi="Times New Roman"/>
          <w:color w:val="000000"/>
          <w:sz w:val="21"/>
          <w:szCs w:val="21"/>
        </w:rPr>
        <w:t>2005</w:t>
      </w:r>
      <w:r w:rsidRPr="00384FBE">
        <w:rPr>
          <w:rFonts w:ascii="Times New Roman"/>
          <w:color w:val="000000"/>
          <w:sz w:val="21"/>
          <w:szCs w:val="21"/>
        </w:rPr>
        <w:t>年达到了</w:t>
      </w:r>
      <w:r w:rsidRPr="00384FBE">
        <w:rPr>
          <w:rFonts w:ascii="Times New Roman" w:hAnsi="Times New Roman"/>
          <w:color w:val="000000"/>
          <w:sz w:val="21"/>
          <w:szCs w:val="21"/>
        </w:rPr>
        <w:t>5260</w:t>
      </w:r>
      <w:r w:rsidRPr="00384FBE">
        <w:rPr>
          <w:rFonts w:ascii="Times New Roman"/>
          <w:color w:val="000000"/>
          <w:sz w:val="21"/>
          <w:szCs w:val="21"/>
        </w:rPr>
        <w:t>毫克，创历史最高。截止</w:t>
      </w:r>
      <w:r w:rsidRPr="00384FBE">
        <w:rPr>
          <w:rFonts w:ascii="Times New Roman" w:hAnsi="Times New Roman"/>
          <w:color w:val="000000"/>
          <w:sz w:val="21"/>
          <w:szCs w:val="21"/>
        </w:rPr>
        <w:t>2015</w:t>
      </w:r>
      <w:r w:rsidRPr="00384FBE">
        <w:rPr>
          <w:rFonts w:ascii="Times New Roman"/>
          <w:color w:val="000000"/>
          <w:sz w:val="21"/>
          <w:szCs w:val="21"/>
        </w:rPr>
        <w:t>年，韩国人每日钠摄入量降至</w:t>
      </w:r>
      <w:r w:rsidRPr="00384FBE">
        <w:rPr>
          <w:rFonts w:ascii="Times New Roman" w:hAnsi="Times New Roman"/>
          <w:color w:val="000000"/>
          <w:sz w:val="21"/>
          <w:szCs w:val="21"/>
        </w:rPr>
        <w:t>3871</w:t>
      </w:r>
      <w:r w:rsidRPr="00384FBE">
        <w:rPr>
          <w:rFonts w:ascii="Times New Roman"/>
          <w:color w:val="000000"/>
          <w:sz w:val="21"/>
          <w:szCs w:val="21"/>
        </w:rPr>
        <w:t>毫克。</w:t>
      </w:r>
      <w:r w:rsidRPr="00384FBE">
        <w:rPr>
          <w:rFonts w:ascii="Times New Roman"/>
          <w:color w:val="000000"/>
          <w:sz w:val="21"/>
          <w:szCs w:val="21"/>
        </w:rPr>
        <w:lastRenderedPageBreak/>
        <w:t>该数据显示，韩国</w:t>
      </w:r>
      <w:r w:rsidRPr="00384FBE">
        <w:rPr>
          <w:rFonts w:ascii="Times New Roman" w:hAnsi="Times New Roman"/>
          <w:color w:val="000000"/>
          <w:sz w:val="21"/>
          <w:szCs w:val="21"/>
        </w:rPr>
        <w:t>2010-2013</w:t>
      </w:r>
      <w:r w:rsidRPr="00384FBE">
        <w:rPr>
          <w:rFonts w:ascii="Times New Roman"/>
          <w:color w:val="000000"/>
          <w:sz w:val="21"/>
          <w:szCs w:val="21"/>
        </w:rPr>
        <w:t>年间</w:t>
      </w:r>
      <w:r w:rsidRPr="00384FBE">
        <w:rPr>
          <w:rFonts w:ascii="Times New Roman" w:hAnsi="Times New Roman"/>
          <w:color w:val="000000"/>
          <w:sz w:val="21"/>
          <w:szCs w:val="21"/>
        </w:rPr>
        <w:t>83%</w:t>
      </w:r>
      <w:r w:rsidRPr="00384FBE">
        <w:rPr>
          <w:rFonts w:ascii="Times New Roman"/>
          <w:color w:val="000000"/>
          <w:sz w:val="21"/>
          <w:szCs w:val="21"/>
        </w:rPr>
        <w:t>的钠摄入量减少得益于加工食品中钠含量的减少。</w:t>
      </w:r>
      <w:r w:rsidRPr="00384FBE">
        <w:rPr>
          <w:rFonts w:ascii="Times New Roman" w:hAnsi="Times New Roman"/>
          <w:color w:val="000000"/>
          <w:sz w:val="21"/>
          <w:szCs w:val="21"/>
        </w:rPr>
        <w:t>-Korea Bizwire</w:t>
      </w:r>
    </w:p>
    <w:p w14:paraId="2032B38D" w14:textId="77777777" w:rsidR="0042443F" w:rsidRPr="00384FBE" w:rsidRDefault="0042443F" w:rsidP="0042443F">
      <w:pPr>
        <w:adjustRightInd w:val="0"/>
        <w:snapToGrid w:val="0"/>
        <w:spacing w:afterLines="50" w:after="120" w:line="360" w:lineRule="auto"/>
        <w:rPr>
          <w:rFonts w:ascii="Times New Roman" w:hAnsi="Times New Roman"/>
          <w:color w:val="000000"/>
          <w:szCs w:val="21"/>
        </w:rPr>
      </w:pPr>
      <w:r w:rsidRPr="00384FBE">
        <w:rPr>
          <w:rStyle w:val="Hyperlink"/>
          <w:rFonts w:ascii="Times New Roman" w:hAnsi="SimSun"/>
          <w:b/>
          <w:bCs/>
          <w:color w:val="800080"/>
          <w:szCs w:val="21"/>
        </w:rPr>
        <w:t>印度包装食品标签不久或将标明食盐含量明细</w:t>
      </w:r>
    </w:p>
    <w:p w14:paraId="541EF480" w14:textId="77777777" w:rsidR="0042443F" w:rsidRPr="00384FBE" w:rsidRDefault="0042443F" w:rsidP="0042443F">
      <w:pPr>
        <w:adjustRightInd w:val="0"/>
        <w:snapToGrid w:val="0"/>
        <w:spacing w:afterLines="50" w:after="120" w:line="360" w:lineRule="auto"/>
        <w:rPr>
          <w:rFonts w:ascii="Times New Roman" w:hAnsi="Times New Roman"/>
          <w:szCs w:val="21"/>
        </w:rPr>
      </w:pPr>
      <w:r w:rsidRPr="00384FBE">
        <w:rPr>
          <w:rFonts w:ascii="Times New Roman" w:hAnsi="SimSun"/>
          <w:color w:val="000000"/>
          <w:szCs w:val="21"/>
        </w:rPr>
        <w:t>根据食品标签法拟修订内容，印度食品和饮料公司或必须披露它们包装产品中糖和钠的附加信息。按照目前的要求，包装食品公司只需在标签上标明能量、蛋白质、碳水化合物和脂肪的含量。食品标签法拟修订草案将按计划发布，但在生效之前需经印度卫生和家庭福利部批准。</w:t>
      </w:r>
      <w:r w:rsidRPr="00384FBE">
        <w:rPr>
          <w:rFonts w:ascii="Times New Roman" w:hAnsi="Times New Roman"/>
          <w:color w:val="000000"/>
          <w:szCs w:val="21"/>
        </w:rPr>
        <w:t>-</w:t>
      </w:r>
      <w:r w:rsidRPr="00384FBE">
        <w:rPr>
          <w:rFonts w:ascii="Times New Roman" w:hAnsi="SimSun"/>
          <w:color w:val="000000"/>
          <w:szCs w:val="21"/>
        </w:rPr>
        <w:t>《印度教徒报》</w:t>
      </w:r>
    </w:p>
    <w:p w14:paraId="3C774A06" w14:textId="77777777" w:rsidR="001A08B1" w:rsidRDefault="001A08B1" w:rsidP="00C24434"/>
    <w:p w14:paraId="292DBCC1" w14:textId="77777777" w:rsidR="005D6011" w:rsidRDefault="005D6011" w:rsidP="005D6011">
      <w:pPr>
        <w:pStyle w:val="NormalWeb"/>
        <w:snapToGrid w:val="0"/>
        <w:spacing w:afterLines="50" w:after="120"/>
        <w:rPr>
          <w:rFonts w:ascii="Times New Roman" w:eastAsiaTheme="minorEastAsia" w:hAnsiTheme="minorEastAsia"/>
          <w:color w:val="2B2B2B"/>
          <w:sz w:val="21"/>
          <w:szCs w:val="21"/>
        </w:rPr>
      </w:pPr>
    </w:p>
    <w:p w14:paraId="5AAF037C"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14:paraId="07259A45" w14:textId="77777777"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489C03F6"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2450C55E"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49B06830"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F99C664"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14:paraId="195CB2B6" w14:textId="2DB346A5" w:rsidR="003D6ECF" w:rsidRPr="003D6ECF" w:rsidRDefault="003D6ECF" w:rsidP="003D6ECF">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hyperlink r:id="rId9" w:history="1">
        <w:r w:rsidR="00A217AF">
          <w:rPr>
            <w:rStyle w:val="Hyperlink"/>
            <w:rFonts w:ascii="Arial" w:hAnsi="Arial" w:cs="Arial"/>
            <w:i/>
            <w:iCs/>
            <w:sz w:val="20"/>
            <w:szCs w:val="20"/>
          </w:rPr>
          <w:t>JLevings@cdc.gov</w:t>
        </w:r>
      </w:hyperlink>
      <w:r w:rsidRPr="003D6ECF">
        <w:rPr>
          <w:rFonts w:ascii="Arial" w:hAnsi="Arial" w:cs="Arial" w:hint="eastAsia"/>
          <w:iCs/>
          <w:sz w:val="18"/>
          <w:szCs w:val="20"/>
        </w:rPr>
        <w:t>。</w:t>
      </w:r>
    </w:p>
    <w:p w14:paraId="1440B56E" w14:textId="77777777"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14:paraId="117CF11D" w14:textId="77777777" w:rsidR="00B635B7" w:rsidRDefault="00155A93" w:rsidP="00B635B7">
      <w:pPr>
        <w:rPr>
          <w:rFonts w:ascii="Arial" w:hAnsi="Arial" w:cs="Arial"/>
          <w:b/>
          <w:bCs/>
          <w:sz w:val="23"/>
          <w:szCs w:val="23"/>
        </w:rPr>
      </w:pPr>
      <w:r>
        <w:rPr>
          <w:rFonts w:ascii="Times New Roman" w:eastAsiaTheme="minorEastAsia" w:hAnsiTheme="minorEastAsia"/>
          <w:color w:val="2B2B2B"/>
          <w:sz w:val="21"/>
          <w:szCs w:val="21"/>
        </w:rPr>
        <w:br w:type="page"/>
      </w:r>
      <w:r w:rsidR="00B635B7">
        <w:rPr>
          <w:rFonts w:ascii="Arial" w:hAnsi="Arial" w:cs="Arial"/>
          <w:b/>
          <w:bCs/>
          <w:noProof/>
          <w:sz w:val="23"/>
          <w:szCs w:val="23"/>
        </w:rPr>
        <w:lastRenderedPageBreak/>
        <w:drawing>
          <wp:inline distT="0" distB="0" distL="0" distR="0" wp14:anchorId="4E422D32" wp14:editId="5BCCB5F2">
            <wp:extent cx="5934075" cy="1228725"/>
            <wp:effectExtent l="0" t="0" r="9525" b="9525"/>
            <wp:docPr id="15" name="Picture 15"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10">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72380B2B" w14:textId="77777777" w:rsidR="00A217AF" w:rsidRDefault="00A217AF" w:rsidP="00A217AF">
      <w:pPr>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6B1172FE" w14:textId="77777777" w:rsidR="00A217AF" w:rsidRDefault="00A217AF" w:rsidP="00A217AF">
      <w:pPr>
        <w:ind w:right="300"/>
        <w:rPr>
          <w:b/>
          <w:bCs/>
          <w:color w:val="1F497D"/>
        </w:rPr>
      </w:pPr>
    </w:p>
    <w:p w14:paraId="17757C94" w14:textId="77777777" w:rsidR="00A217AF" w:rsidRDefault="00A217AF" w:rsidP="00A217AF">
      <w:pPr>
        <w:ind w:right="300"/>
        <w:rPr>
          <w:rFonts w:ascii="Arial" w:hAnsi="Arial" w:cs="Arial"/>
          <w:b/>
          <w:bCs/>
          <w:color w:val="000000"/>
          <w:sz w:val="23"/>
          <w:szCs w:val="23"/>
        </w:rPr>
      </w:pPr>
    </w:p>
    <w:p w14:paraId="1138E873" w14:textId="44D5A76D" w:rsidR="00A217AF" w:rsidRDefault="0028734A" w:rsidP="00A217AF">
      <w:pPr>
        <w:ind w:right="300"/>
        <w:rPr>
          <w:rFonts w:ascii="Arial" w:hAnsi="Arial" w:cs="Arial"/>
          <w:sz w:val="19"/>
          <w:szCs w:val="19"/>
        </w:rPr>
      </w:pPr>
      <w:r>
        <w:rPr>
          <w:rFonts w:ascii="Arial" w:hAnsi="Arial" w:cs="Arial"/>
          <w:b/>
          <w:bCs/>
          <w:color w:val="000000"/>
          <w:sz w:val="23"/>
          <w:szCs w:val="23"/>
        </w:rPr>
        <w:t>Dec 17-30</w:t>
      </w:r>
      <w:r w:rsidR="00A217AF">
        <w:rPr>
          <w:rFonts w:ascii="Arial" w:hAnsi="Arial" w:cs="Arial"/>
          <w:b/>
          <w:bCs/>
          <w:color w:val="000000"/>
          <w:sz w:val="23"/>
          <w:szCs w:val="23"/>
        </w:rPr>
        <w:t>, 2016</w:t>
      </w:r>
    </w:p>
    <w:p w14:paraId="4F3A3D79" w14:textId="77777777" w:rsidR="00A217AF" w:rsidRDefault="00A217AF" w:rsidP="00A217AF">
      <w:pPr>
        <w:rPr>
          <w:rFonts w:ascii="Arial" w:hAnsi="Arial" w:cs="Arial"/>
          <w:color w:val="000000"/>
          <w:sz w:val="20"/>
          <w:szCs w:val="20"/>
        </w:rPr>
      </w:pPr>
    </w:p>
    <w:p w14:paraId="73F138E2" w14:textId="7D620CE1" w:rsidR="00C24434" w:rsidRDefault="0028734A" w:rsidP="00C24434">
      <w:pPr>
        <w:rPr>
          <w:rFonts w:ascii="Arial" w:hAnsi="Arial" w:cs="Arial"/>
          <w:sz w:val="20"/>
          <w:szCs w:val="20"/>
        </w:rPr>
      </w:pPr>
      <w:r>
        <w:rPr>
          <w:rFonts w:ascii="Arial" w:hAnsi="Arial" w:cs="Arial"/>
          <w:noProof/>
          <w:color w:val="000000"/>
          <w:sz w:val="20"/>
          <w:szCs w:val="20"/>
        </w:rPr>
        <w:drawing>
          <wp:inline distT="0" distB="0" distL="0" distR="0" wp14:anchorId="35950C39" wp14:editId="10AD7BC2">
            <wp:extent cx="5486400" cy="345101"/>
            <wp:effectExtent l="0" t="0" r="0" b="0"/>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ther.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86400" cy="345101"/>
                    </a:xfrm>
                    <a:prstGeom prst="rect">
                      <a:avLst/>
                    </a:prstGeom>
                    <a:noFill/>
                    <a:ln>
                      <a:noFill/>
                    </a:ln>
                  </pic:spPr>
                </pic:pic>
              </a:graphicData>
            </a:graphic>
          </wp:inline>
        </w:drawing>
      </w:r>
    </w:p>
    <w:p w14:paraId="1ABE1CCB" w14:textId="77777777" w:rsidR="00F57EA6" w:rsidRDefault="00F57EA6" w:rsidP="00F57EA6">
      <w:pPr>
        <w:pStyle w:val="NormalWeb"/>
        <w:rPr>
          <w:b/>
          <w:bCs/>
          <w:color w:val="0000FF"/>
          <w:sz w:val="22"/>
        </w:rPr>
      </w:pPr>
      <w:hyperlink r:id="rId13" w:history="1">
        <w:r>
          <w:rPr>
            <w:rStyle w:val="Hyperlink"/>
            <w:rFonts w:ascii="Arial" w:hAnsi="Arial" w:cs="Arial"/>
            <w:b/>
            <w:bCs/>
            <w:sz w:val="20"/>
            <w:szCs w:val="20"/>
          </w:rPr>
          <w:t>Sodium Poses Hidden Danger to Health</w:t>
        </w:r>
      </w:hyperlink>
    </w:p>
    <w:p w14:paraId="0A6369A5" w14:textId="77777777" w:rsidR="00F57EA6" w:rsidRDefault="00F57EA6" w:rsidP="00F57EA6">
      <w:pPr>
        <w:rPr>
          <w:rFonts w:ascii="Arial" w:hAnsi="Arial" w:cs="Arial"/>
          <w:sz w:val="20"/>
          <w:szCs w:val="20"/>
        </w:rPr>
      </w:pPr>
      <w:r>
        <w:rPr>
          <w:rFonts w:ascii="Arial" w:hAnsi="Arial" w:cs="Arial"/>
          <w:sz w:val="20"/>
          <w:szCs w:val="20"/>
        </w:rPr>
        <w:t>The average American consumes 3,400 milligrams of sodium per day—the American Heart Association (AHA) recommends people consume no more than 2,300 milligrams of sodium per day, but ideally 1,500 milligrams per day. One third of adults did not know how much sodium they consumed, and more than half thought their daily consumption was less than 2,000 milligrams, according to an AHA study. Deanna Bowers, a registered dietitian with the Maryville Hy-Vee supermarket, recommends choosing low or reduced sodium products, including canned vegetables, broths, and deli meats. – St. Joseph News-Press</w:t>
      </w:r>
    </w:p>
    <w:p w14:paraId="22D8A6E0" w14:textId="77777777" w:rsidR="00F57EA6" w:rsidRDefault="00F57EA6" w:rsidP="00F57EA6">
      <w:pPr>
        <w:pStyle w:val="NormalWeb"/>
        <w:rPr>
          <w:color w:val="0000FF"/>
          <w:sz w:val="22"/>
        </w:rPr>
      </w:pPr>
    </w:p>
    <w:p w14:paraId="6C86A13C" w14:textId="77777777" w:rsidR="00F57EA6" w:rsidRDefault="00F57EA6" w:rsidP="00F57EA6">
      <w:pPr>
        <w:pStyle w:val="NormalWeb"/>
        <w:rPr>
          <w:rFonts w:ascii="Arial" w:hAnsi="Arial" w:cs="Arial"/>
          <w:b/>
          <w:bCs/>
          <w:color w:val="0000FF"/>
          <w:sz w:val="20"/>
          <w:szCs w:val="20"/>
        </w:rPr>
      </w:pPr>
      <w:hyperlink r:id="rId14" w:history="1">
        <w:r>
          <w:rPr>
            <w:rStyle w:val="Hyperlink"/>
            <w:rFonts w:ascii="Arial" w:hAnsi="Arial" w:cs="Arial"/>
            <w:b/>
            <w:bCs/>
            <w:sz w:val="20"/>
            <w:szCs w:val="20"/>
            <w:shd w:val="clear" w:color="auto" w:fill="FFFFFF"/>
          </w:rPr>
          <w:t>Sodium Guidelines—Always in Season</w:t>
        </w:r>
      </w:hyperlink>
    </w:p>
    <w:p w14:paraId="03E46E0A" w14:textId="77777777" w:rsidR="00F57EA6" w:rsidRDefault="00F57EA6" w:rsidP="00F57EA6">
      <w:pPr>
        <w:pStyle w:val="NormalWeb"/>
        <w:rPr>
          <w:rStyle w:val="Hyperlink"/>
          <w:rFonts w:ascii="Times New Roman" w:hAnsi="Times New Roman"/>
          <w:color w:val="auto"/>
          <w:szCs w:val="24"/>
          <w:u w:val="none"/>
        </w:rPr>
      </w:pPr>
      <w:r>
        <w:rPr>
          <w:rFonts w:ascii="Arial" w:hAnsi="Arial" w:cs="Arial"/>
          <w:color w:val="000000"/>
          <w:sz w:val="20"/>
          <w:szCs w:val="20"/>
        </w:rPr>
        <w:t>As a mother and registered dietitian with the Mayo Clinic Health System, Kay Alberg says that reducing sodium in her family’s diet has been a priority. Alberg provides recommendations for reducing sodium intake, including limiting the salt added in cooking, checking seasonings for sodium, and limiting consumption of prepackaged or processed foods.</w:t>
      </w:r>
      <w:r>
        <w:rPr>
          <w:rFonts w:ascii="Arial" w:hAnsi="Arial" w:cs="Arial"/>
          <w:sz w:val="20"/>
          <w:szCs w:val="20"/>
        </w:rPr>
        <w:t xml:space="preserve"> – Chippewa Herald</w:t>
      </w:r>
    </w:p>
    <w:p w14:paraId="08201DD8" w14:textId="5384CDFF" w:rsidR="00C24434" w:rsidRDefault="00C24434" w:rsidP="00C24434">
      <w:pPr>
        <w:rPr>
          <w:rFonts w:ascii="Arial" w:hAnsi="Arial" w:cs="Arial"/>
          <w:color w:val="000000"/>
          <w:sz w:val="20"/>
          <w:szCs w:val="20"/>
        </w:rPr>
      </w:pPr>
    </w:p>
    <w:p w14:paraId="0A223E9A" w14:textId="2692DA89" w:rsidR="00C24434" w:rsidRDefault="00F57EA6" w:rsidP="00C24434">
      <w:pPr>
        <w:rPr>
          <w:rFonts w:ascii="Arial" w:hAnsi="Arial" w:cs="Arial"/>
          <w:sz w:val="20"/>
          <w:szCs w:val="20"/>
        </w:rPr>
      </w:pPr>
      <w:r>
        <w:rPr>
          <w:rFonts w:ascii="Arial" w:hAnsi="Arial" w:cs="Arial"/>
          <w:noProof/>
          <w:color w:val="000000"/>
          <w:sz w:val="20"/>
          <w:szCs w:val="20"/>
        </w:rPr>
        <w:drawing>
          <wp:inline distT="0" distB="0" distL="0" distR="0" wp14:anchorId="24DA3CB1" wp14:editId="5B489336">
            <wp:extent cx="5486400" cy="345101"/>
            <wp:effectExtent l="0" t="0" r="0" b="0"/>
            <wp:docPr id="4" name="Picture 4"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News.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486400" cy="345101"/>
                    </a:xfrm>
                    <a:prstGeom prst="rect">
                      <a:avLst/>
                    </a:prstGeom>
                    <a:noFill/>
                    <a:ln>
                      <a:noFill/>
                    </a:ln>
                  </pic:spPr>
                </pic:pic>
              </a:graphicData>
            </a:graphic>
          </wp:inline>
        </w:drawing>
      </w:r>
    </w:p>
    <w:p w14:paraId="031876B8" w14:textId="77777777" w:rsidR="00F57EA6" w:rsidRDefault="00F57EA6" w:rsidP="00F57EA6">
      <w:pPr>
        <w:rPr>
          <w:rFonts w:ascii="Arial" w:hAnsi="Arial" w:cs="Arial"/>
          <w:b/>
          <w:bCs/>
          <w:color w:val="000000"/>
          <w:sz w:val="20"/>
          <w:szCs w:val="20"/>
        </w:rPr>
      </w:pPr>
      <w:hyperlink r:id="rId17" w:history="1">
        <w:r>
          <w:rPr>
            <w:rStyle w:val="Hyperlink"/>
            <w:rFonts w:ascii="Arial" w:hAnsi="Arial" w:cs="Arial"/>
            <w:b/>
            <w:bCs/>
            <w:sz w:val="20"/>
            <w:szCs w:val="20"/>
          </w:rPr>
          <w:t>Korean Government Initiative to Lower Sodium Intake Pays Off</w:t>
        </w:r>
      </w:hyperlink>
    </w:p>
    <w:p w14:paraId="5C8F1E79" w14:textId="77777777" w:rsidR="00F57EA6" w:rsidRDefault="00F57EA6" w:rsidP="00F57EA6">
      <w:pPr>
        <w:pStyle w:val="NormalWeb"/>
        <w:rPr>
          <w:rFonts w:ascii="Arial" w:hAnsi="Arial" w:cs="Arial"/>
          <w:color w:val="1F497D"/>
          <w:sz w:val="20"/>
          <w:szCs w:val="20"/>
        </w:rPr>
      </w:pPr>
      <w:r>
        <w:rPr>
          <w:rFonts w:ascii="Arial" w:hAnsi="Arial" w:cs="Arial"/>
          <w:color w:val="000000"/>
          <w:sz w:val="20"/>
          <w:szCs w:val="20"/>
        </w:rPr>
        <w:t>Koreans’ daily intake sodium decreased by roughly 19% since 2010, according to data from the Korea Health Promotion Foundation. When the first official observation of national sodium consumption began in 1998, the average daily intake hovered between 4,500 milligrams and 4,800 milligrams</w:t>
      </w:r>
      <w:r>
        <w:rPr>
          <w:rFonts w:ascii="Arial" w:hAnsi="Arial" w:cs="Arial"/>
          <w:sz w:val="20"/>
          <w:szCs w:val="20"/>
        </w:rPr>
        <w:t xml:space="preserve">, peaking </w:t>
      </w:r>
      <w:r>
        <w:rPr>
          <w:rFonts w:ascii="Arial" w:hAnsi="Arial" w:cs="Arial"/>
          <w:color w:val="000000"/>
          <w:sz w:val="20"/>
          <w:szCs w:val="20"/>
        </w:rPr>
        <w:t xml:space="preserve">at 5,260 milligrams in 2005. By 2015, Koreans’ daily sodium intake fell to 3,871 milligrams. The data show that 83% of Koreans’ sodium intake reduction between 2010 and 2013 was the result of reduced sodium content in processed foods. </w:t>
      </w:r>
      <w:r>
        <w:rPr>
          <w:rFonts w:ascii="Arial" w:hAnsi="Arial" w:cs="Arial"/>
          <w:sz w:val="20"/>
          <w:szCs w:val="20"/>
        </w:rPr>
        <w:t>– Korea Bizwire</w:t>
      </w:r>
    </w:p>
    <w:p w14:paraId="7990F98C" w14:textId="77777777" w:rsidR="00F57EA6" w:rsidRDefault="00F57EA6" w:rsidP="00F57EA6">
      <w:pPr>
        <w:pStyle w:val="NoSpacing"/>
        <w:rPr>
          <w:rFonts w:ascii="Arial" w:hAnsi="Arial" w:cs="Arial"/>
          <w:color w:val="000000"/>
          <w:sz w:val="20"/>
          <w:szCs w:val="20"/>
          <w:shd w:val="clear" w:color="auto" w:fill="FFFFFF"/>
        </w:rPr>
      </w:pPr>
    </w:p>
    <w:p w14:paraId="49C26ECA" w14:textId="77777777" w:rsidR="00F57EA6" w:rsidRDefault="00F57EA6" w:rsidP="00F57EA6">
      <w:pPr>
        <w:pStyle w:val="NormalWeb"/>
        <w:rPr>
          <w:rFonts w:ascii="Arial" w:hAnsi="Arial" w:cs="Arial"/>
          <w:b/>
          <w:bCs/>
          <w:color w:val="000000"/>
          <w:sz w:val="20"/>
          <w:szCs w:val="20"/>
        </w:rPr>
      </w:pPr>
      <w:hyperlink r:id="rId18" w:history="1">
        <w:r>
          <w:rPr>
            <w:rStyle w:val="Hyperlink"/>
            <w:rFonts w:ascii="Arial" w:hAnsi="Arial" w:cs="Arial"/>
            <w:b/>
            <w:bCs/>
            <w:sz w:val="20"/>
            <w:szCs w:val="20"/>
          </w:rPr>
          <w:t>Packaged Food Labels in India May Soon Carry Details of Salt Content</w:t>
        </w:r>
      </w:hyperlink>
      <w:r>
        <w:rPr>
          <w:rFonts w:ascii="Arial" w:hAnsi="Arial" w:cs="Arial"/>
          <w:b/>
          <w:bCs/>
          <w:color w:val="000000"/>
          <w:sz w:val="20"/>
          <w:szCs w:val="20"/>
        </w:rPr>
        <w:t xml:space="preserve">    </w:t>
      </w:r>
    </w:p>
    <w:p w14:paraId="432109D5" w14:textId="77777777" w:rsidR="00F57EA6" w:rsidRDefault="00F57EA6" w:rsidP="00F57EA6">
      <w:pPr>
        <w:pStyle w:val="NoSpacing"/>
        <w:rPr>
          <w:rStyle w:val="Hyperlink"/>
          <w:color w:val="1F497D"/>
          <w:u w:val="none"/>
        </w:rPr>
      </w:pPr>
      <w:r>
        <w:rPr>
          <w:rFonts w:ascii="Arial" w:hAnsi="Arial" w:cs="Arial"/>
          <w:color w:val="000000"/>
          <w:sz w:val="20"/>
          <w:szCs w:val="20"/>
        </w:rPr>
        <w:t>Food and beverage companies in India may have to disclose additional information on the sugar and sodium content of their packaged products as part of proposed revisions to food labeling laws.</w:t>
      </w:r>
      <w:r>
        <w:rPr>
          <w:sz w:val="20"/>
          <w:szCs w:val="20"/>
        </w:rPr>
        <w:t xml:space="preserve"> </w:t>
      </w:r>
      <w:r>
        <w:rPr>
          <w:rFonts w:ascii="Arial" w:hAnsi="Arial" w:cs="Arial"/>
          <w:color w:val="000000"/>
          <w:sz w:val="20"/>
          <w:szCs w:val="20"/>
        </w:rPr>
        <w:t>Packaged food companies are currently required to specify only the energy, protein, carbohydrate, and fat content on labels.</w:t>
      </w:r>
      <w:r>
        <w:rPr>
          <w:sz w:val="20"/>
          <w:szCs w:val="20"/>
        </w:rPr>
        <w:t xml:space="preserve"> </w:t>
      </w:r>
      <w:r>
        <w:rPr>
          <w:rFonts w:ascii="Arial" w:hAnsi="Arial" w:cs="Arial"/>
          <w:color w:val="000000"/>
          <w:sz w:val="20"/>
          <w:szCs w:val="20"/>
        </w:rPr>
        <w:t>A draft of the proposed revisions is scheduled for release but will require clearance by the Ministry of Health and Family Welfare before taking effect.</w:t>
      </w:r>
      <w:r>
        <w:rPr>
          <w:rFonts w:ascii="Arial" w:hAnsi="Arial" w:cs="Arial"/>
          <w:sz w:val="20"/>
          <w:szCs w:val="20"/>
        </w:rPr>
        <w:t xml:space="preserve"> – Hindu</w:t>
      </w:r>
    </w:p>
    <w:p w14:paraId="5EC86279" w14:textId="4095563F" w:rsidR="00C24434" w:rsidRDefault="00C24434" w:rsidP="00C24434">
      <w:pPr>
        <w:rPr>
          <w:rFonts w:ascii="Arial" w:hAnsi="Arial" w:cs="Arial"/>
          <w:noProof/>
          <w:color w:val="000000"/>
          <w:sz w:val="20"/>
          <w:szCs w:val="20"/>
        </w:rPr>
      </w:pPr>
    </w:p>
    <w:p w14:paraId="1D673782" w14:textId="77777777" w:rsidR="008A786C" w:rsidRDefault="008A786C" w:rsidP="00C24434">
      <w:pPr>
        <w:rPr>
          <w:rFonts w:ascii="Arial" w:hAnsi="Arial" w:cs="Arial"/>
          <w:noProof/>
          <w:color w:val="000000"/>
          <w:sz w:val="20"/>
          <w:szCs w:val="20"/>
        </w:rPr>
      </w:pPr>
    </w:p>
    <w:p w14:paraId="1BC9401C" w14:textId="77777777" w:rsidR="008A786C" w:rsidRDefault="008A786C" w:rsidP="00C24434">
      <w:pPr>
        <w:rPr>
          <w:rFonts w:ascii="Arial" w:hAnsi="Arial" w:cs="Arial"/>
          <w:noProof/>
          <w:color w:val="000000"/>
          <w:sz w:val="20"/>
          <w:szCs w:val="20"/>
        </w:rPr>
      </w:pPr>
    </w:p>
    <w:p w14:paraId="12AD2966" w14:textId="77777777" w:rsidR="008A786C" w:rsidRDefault="008A786C" w:rsidP="00C24434">
      <w:pPr>
        <w:rPr>
          <w:rFonts w:ascii="Arial" w:hAnsi="Arial" w:cs="Arial"/>
          <w:noProof/>
          <w:color w:val="000000"/>
          <w:sz w:val="20"/>
          <w:szCs w:val="20"/>
        </w:rPr>
      </w:pPr>
    </w:p>
    <w:p w14:paraId="0E2CA184" w14:textId="77777777" w:rsidR="00654EA4" w:rsidRDefault="00654EA4" w:rsidP="00A217AF">
      <w:pPr>
        <w:rPr>
          <w:i/>
          <w:iCs/>
          <w:color w:val="1F497D"/>
        </w:rPr>
      </w:pPr>
      <w:bookmarkStart w:id="0" w:name="_GoBack"/>
      <w:bookmarkEnd w:id="0"/>
    </w:p>
    <w:p w14:paraId="20BA05A0" w14:textId="77777777" w:rsidR="00A217AF" w:rsidRDefault="00A217AF" w:rsidP="00A217AF">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1B7699E1" w14:textId="77777777" w:rsidR="00A217AF" w:rsidRDefault="00A217AF" w:rsidP="00A217AF">
      <w:pPr>
        <w:rPr>
          <w:rFonts w:ascii="Arial" w:hAnsi="Arial" w:cs="Arial"/>
          <w:i/>
          <w:iCs/>
          <w:sz w:val="20"/>
          <w:szCs w:val="20"/>
        </w:rPr>
      </w:pPr>
    </w:p>
    <w:p w14:paraId="2FF9FC8B" w14:textId="77777777" w:rsidR="00A217AF" w:rsidRDefault="00A217AF" w:rsidP="00A217AF">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245A35FE" w14:textId="77777777" w:rsidR="00A217AF" w:rsidRDefault="00A217AF" w:rsidP="00A217AF">
      <w:pPr>
        <w:rPr>
          <w:rFonts w:ascii="Arial" w:hAnsi="Arial" w:cs="Arial"/>
          <w:i/>
          <w:iCs/>
          <w:sz w:val="20"/>
          <w:szCs w:val="20"/>
        </w:rPr>
      </w:pPr>
    </w:p>
    <w:p w14:paraId="33D60E6A" w14:textId="77777777" w:rsidR="00A217AF" w:rsidRDefault="00A217AF" w:rsidP="00A217AF">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35F3DABD" w14:textId="77777777" w:rsidR="00A217AF" w:rsidRDefault="00A217AF" w:rsidP="00A217AF">
      <w:pPr>
        <w:rPr>
          <w:rFonts w:ascii="Arial" w:hAnsi="Arial" w:cs="Arial"/>
          <w:i/>
          <w:iCs/>
          <w:sz w:val="20"/>
          <w:szCs w:val="20"/>
        </w:rPr>
      </w:pPr>
    </w:p>
    <w:p w14:paraId="671B6384" w14:textId="77777777" w:rsidR="00A217AF" w:rsidRDefault="00A217AF" w:rsidP="00A217AF">
      <w:pPr>
        <w:rPr>
          <w:rFonts w:ascii="Arial" w:hAnsi="Arial" w:cs="Arial"/>
          <w:color w:val="1F497D"/>
          <w:sz w:val="24"/>
          <w:szCs w:val="24"/>
        </w:rPr>
      </w:pPr>
      <w:r>
        <w:rPr>
          <w:rFonts w:ascii="Arial" w:hAnsi="Arial" w:cs="Arial"/>
          <w:i/>
          <w:iCs/>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sz w:val="20"/>
          <w:szCs w:val="20"/>
        </w:rPr>
        <w:t>contact Jessica Levings at</w:t>
      </w:r>
      <w:r>
        <w:rPr>
          <w:rFonts w:ascii="Arial" w:hAnsi="Arial" w:cs="Arial"/>
          <w:sz w:val="20"/>
          <w:szCs w:val="20"/>
        </w:rPr>
        <w:t xml:space="preserve"> </w:t>
      </w:r>
      <w:hyperlink r:id="rId19" w:history="1">
        <w:r>
          <w:rPr>
            <w:rStyle w:val="Hyperlink"/>
            <w:rFonts w:ascii="Arial" w:hAnsi="Arial" w:cs="Arial"/>
            <w:i/>
            <w:iCs/>
            <w:sz w:val="20"/>
            <w:szCs w:val="20"/>
          </w:rPr>
          <w:t>JLevings@cdc.gov</w:t>
        </w:r>
      </w:hyperlink>
      <w:r>
        <w:rPr>
          <w:rFonts w:ascii="Arial" w:hAnsi="Arial" w:cs="Arial"/>
          <w:sz w:val="20"/>
          <w:szCs w:val="20"/>
        </w:rPr>
        <w:t>.</w:t>
      </w:r>
    </w:p>
    <w:p w14:paraId="7870866A" w14:textId="77777777" w:rsidR="00155A93" w:rsidRDefault="00155A93" w:rsidP="00A217AF">
      <w:pPr>
        <w:ind w:right="300"/>
        <w:rPr>
          <w:rFonts w:ascii="Times New Roman" w:eastAsiaTheme="minorEastAsia" w:hAnsiTheme="minorEastAsia"/>
          <w:color w:val="2B2B2B"/>
          <w:sz w:val="21"/>
          <w:szCs w:val="21"/>
        </w:rPr>
      </w:pPr>
    </w:p>
    <w:sectPr w:rsidR="00155A93"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6475D" w14:textId="77777777" w:rsidR="00987996" w:rsidRDefault="00987996" w:rsidP="00F43BBD">
      <w:r>
        <w:separator/>
      </w:r>
    </w:p>
  </w:endnote>
  <w:endnote w:type="continuationSeparator" w:id="0">
    <w:p w14:paraId="0A6C00CC" w14:textId="77777777" w:rsidR="00987996" w:rsidRDefault="00987996"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4D5C5" w14:textId="77777777" w:rsidR="00987996" w:rsidRDefault="00987996" w:rsidP="00F43BBD">
      <w:r>
        <w:separator/>
      </w:r>
    </w:p>
  </w:footnote>
  <w:footnote w:type="continuationSeparator" w:id="0">
    <w:p w14:paraId="5491213F" w14:textId="77777777" w:rsidR="00987996" w:rsidRDefault="00987996"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C7E2F"/>
    <w:rsid w:val="001532C5"/>
    <w:rsid w:val="00155A93"/>
    <w:rsid w:val="001738DA"/>
    <w:rsid w:val="00177354"/>
    <w:rsid w:val="001A08B1"/>
    <w:rsid w:val="001D0FCC"/>
    <w:rsid w:val="002006C5"/>
    <w:rsid w:val="00223B31"/>
    <w:rsid w:val="0023672B"/>
    <w:rsid w:val="00251D29"/>
    <w:rsid w:val="0026403C"/>
    <w:rsid w:val="0028734A"/>
    <w:rsid w:val="00287F5A"/>
    <w:rsid w:val="00297F47"/>
    <w:rsid w:val="002A2860"/>
    <w:rsid w:val="002C4940"/>
    <w:rsid w:val="00303903"/>
    <w:rsid w:val="0034546C"/>
    <w:rsid w:val="003D6ECF"/>
    <w:rsid w:val="00413B96"/>
    <w:rsid w:val="0042443F"/>
    <w:rsid w:val="00444E82"/>
    <w:rsid w:val="004519D0"/>
    <w:rsid w:val="004C00DD"/>
    <w:rsid w:val="005375AA"/>
    <w:rsid w:val="00586CA5"/>
    <w:rsid w:val="005A03D6"/>
    <w:rsid w:val="005D6011"/>
    <w:rsid w:val="00654EA4"/>
    <w:rsid w:val="00666DFE"/>
    <w:rsid w:val="006857E0"/>
    <w:rsid w:val="007012CF"/>
    <w:rsid w:val="00775CE3"/>
    <w:rsid w:val="007A780D"/>
    <w:rsid w:val="007B740B"/>
    <w:rsid w:val="00812361"/>
    <w:rsid w:val="00847C63"/>
    <w:rsid w:val="00896F73"/>
    <w:rsid w:val="008A786C"/>
    <w:rsid w:val="008F6758"/>
    <w:rsid w:val="00902572"/>
    <w:rsid w:val="00902B9B"/>
    <w:rsid w:val="00916F37"/>
    <w:rsid w:val="0092435C"/>
    <w:rsid w:val="00927BAD"/>
    <w:rsid w:val="00935083"/>
    <w:rsid w:val="0093723E"/>
    <w:rsid w:val="009421BB"/>
    <w:rsid w:val="00987996"/>
    <w:rsid w:val="009E754C"/>
    <w:rsid w:val="00A0441F"/>
    <w:rsid w:val="00A217AF"/>
    <w:rsid w:val="00AA55CE"/>
    <w:rsid w:val="00AC0744"/>
    <w:rsid w:val="00B02877"/>
    <w:rsid w:val="00B10F59"/>
    <w:rsid w:val="00B32CF6"/>
    <w:rsid w:val="00B35793"/>
    <w:rsid w:val="00B41BE9"/>
    <w:rsid w:val="00B635B7"/>
    <w:rsid w:val="00BA0421"/>
    <w:rsid w:val="00C00F10"/>
    <w:rsid w:val="00C06B47"/>
    <w:rsid w:val="00C24434"/>
    <w:rsid w:val="00CB08F2"/>
    <w:rsid w:val="00D26E41"/>
    <w:rsid w:val="00D923D4"/>
    <w:rsid w:val="00D940C7"/>
    <w:rsid w:val="00DF3834"/>
    <w:rsid w:val="00E10489"/>
    <w:rsid w:val="00E62B1D"/>
    <w:rsid w:val="00E95DB7"/>
    <w:rsid w:val="00EB218D"/>
    <w:rsid w:val="00F14274"/>
    <w:rsid w:val="00F30E98"/>
    <w:rsid w:val="00F43BBD"/>
    <w:rsid w:val="00F57EA6"/>
    <w:rsid w:val="00FC1306"/>
    <w:rsid w:val="00FC2818"/>
    <w:rsid w:val="00FD49FB"/>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SimSun" w:hAnsi="SimSun" w:cs="SimSun"/>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E6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3767">
      <w:bodyDiv w:val="1"/>
      <w:marLeft w:val="0"/>
      <w:marRight w:val="0"/>
      <w:marTop w:val="0"/>
      <w:marBottom w:val="0"/>
      <w:divBdr>
        <w:top w:val="none" w:sz="0" w:space="0" w:color="auto"/>
        <w:left w:val="none" w:sz="0" w:space="0" w:color="auto"/>
        <w:bottom w:val="none" w:sz="0" w:space="0" w:color="auto"/>
        <w:right w:val="none" w:sz="0" w:space="0" w:color="auto"/>
      </w:divBdr>
    </w:div>
    <w:div w:id="495077782">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715927844">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399091368">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709447538">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1896743432">
      <w:bodyDiv w:val="1"/>
      <w:marLeft w:val="0"/>
      <w:marRight w:val="0"/>
      <w:marTop w:val="0"/>
      <w:marBottom w:val="0"/>
      <w:divBdr>
        <w:top w:val="none" w:sz="0" w:space="0" w:color="auto"/>
        <w:left w:val="none" w:sz="0" w:space="0" w:color="auto"/>
        <w:bottom w:val="none" w:sz="0" w:space="0" w:color="auto"/>
        <w:right w:val="none" w:sz="0" w:space="0" w:color="auto"/>
      </w:divBdr>
    </w:div>
    <w:div w:id="1902137382">
      <w:bodyDiv w:val="1"/>
      <w:marLeft w:val="0"/>
      <w:marRight w:val="0"/>
      <w:marTop w:val="0"/>
      <w:marBottom w:val="0"/>
      <w:divBdr>
        <w:top w:val="none" w:sz="0" w:space="0" w:color="auto"/>
        <w:left w:val="none" w:sz="0" w:space="0" w:color="auto"/>
        <w:bottom w:val="none" w:sz="0" w:space="0" w:color="auto"/>
        <w:right w:val="none" w:sz="0" w:space="0" w:color="auto"/>
      </w:divBdr>
    </w:div>
    <w:div w:id="1964581016">
      <w:bodyDiv w:val="1"/>
      <w:marLeft w:val="0"/>
      <w:marRight w:val="0"/>
      <w:marTop w:val="0"/>
      <w:marBottom w:val="0"/>
      <w:divBdr>
        <w:top w:val="none" w:sz="0" w:space="0" w:color="auto"/>
        <w:left w:val="none" w:sz="0" w:space="0" w:color="auto"/>
        <w:bottom w:val="none" w:sz="0" w:space="0" w:color="auto"/>
        <w:right w:val="none" w:sz="0" w:space="0" w:color="auto"/>
      </w:divBdr>
    </w:div>
    <w:div w:id="1967541878">
      <w:bodyDiv w:val="1"/>
      <w:marLeft w:val="0"/>
      <w:marRight w:val="0"/>
      <w:marTop w:val="0"/>
      <w:marBottom w:val="0"/>
      <w:divBdr>
        <w:top w:val="none" w:sz="0" w:space="0" w:color="auto"/>
        <w:left w:val="none" w:sz="0" w:space="0" w:color="auto"/>
        <w:bottom w:val="none" w:sz="0" w:space="0" w:color="auto"/>
        <w:right w:val="none" w:sz="0" w:space="0" w:color="auto"/>
      </w:divBdr>
    </w:div>
    <w:div w:id="213320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www.newspressnow.com/life/health/sodium-poses-hidden-danger-to-health/article_1302480a-9a90-5ba6-a062-93e19b166c0c.html" TargetMode="External"/><Relationship Id="rId18" Type="http://schemas.openxmlformats.org/officeDocument/2006/relationships/hyperlink" Target="http://www.thehindu.com/news/national/Packaged-food-labels-may-soon-carry-details-of-salt-sugar-content/article16898115.e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cid:image004.jpg@01D1E355.77D9C1E0" TargetMode="External"/><Relationship Id="rId17" Type="http://schemas.openxmlformats.org/officeDocument/2006/relationships/hyperlink" Target="http://koreabizwire.com/government-initiative-to-lower-sodium-intake-pays-off/72398" TargetMode="External"/><Relationship Id="rId2" Type="http://schemas.openxmlformats.org/officeDocument/2006/relationships/styles" Target="styles.xml"/><Relationship Id="rId16" Type="http://schemas.openxmlformats.org/officeDocument/2006/relationships/image" Target="cid:image002.jpg@01D265C6.6B6BC2C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cid:image001.png@01D1064C.73C1D8E0" TargetMode="External"/><Relationship Id="rId19" Type="http://schemas.openxmlformats.org/officeDocument/2006/relationships/hyperlink" Target="mailto:jlevings@cdc.gov" TargetMode="External"/><Relationship Id="rId4" Type="http://schemas.openxmlformats.org/officeDocument/2006/relationships/webSettings" Target="webSettings.xml"/><Relationship Id="rId9" Type="http://schemas.openxmlformats.org/officeDocument/2006/relationships/hyperlink" Target="mailto:jlevings@cdc.gov" TargetMode="External"/><Relationship Id="rId14" Type="http://schemas.openxmlformats.org/officeDocument/2006/relationships/hyperlink" Target="http://chippewa.com/lifestyles/local/sodium-guidelines-always-in-season/article_db945992-7285-5bf5-90b3-a32079405c2f.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Yang, Shuo (CDC/CGH/OD)</cp:lastModifiedBy>
  <cp:revision>2</cp:revision>
  <dcterms:created xsi:type="dcterms:W3CDTF">2017-01-12T03:37:00Z</dcterms:created>
  <dcterms:modified xsi:type="dcterms:W3CDTF">2017-01-12T03:37:00Z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